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CDE8" w14:textId="7280E35F" w:rsidR="00BC3BC7" w:rsidRDefault="00483C58" w:rsidP="00483C58">
      <w:pPr>
        <w:spacing w:after="120" w:line="240" w:lineRule="auto"/>
        <w:jc w:val="center"/>
        <w:rPr>
          <w:rFonts w:ascii="Arial Narrow" w:hAnsi="Arial Narrow"/>
          <w:b/>
          <w:bCs/>
          <w:sz w:val="28"/>
          <w:szCs w:val="28"/>
          <w:lang w:val="en-US"/>
        </w:rPr>
      </w:pPr>
      <w:r w:rsidRPr="00483C58">
        <w:rPr>
          <w:rFonts w:ascii="Arial Narrow" w:hAnsi="Arial Narrow"/>
          <w:b/>
          <w:bCs/>
          <w:sz w:val="28"/>
          <w:szCs w:val="28"/>
          <w:lang w:val="en-US"/>
        </w:rPr>
        <w:t xml:space="preserve">GENERAL TERMS AND CONDITIONS OF </w:t>
      </w:r>
      <w:r w:rsidRPr="00483C58">
        <w:rPr>
          <w:rFonts w:ascii="Arial Narrow" w:hAnsi="Arial Narrow"/>
          <w:b/>
          <w:bCs/>
          <w:sz w:val="28"/>
          <w:szCs w:val="28"/>
          <w:lang w:val="en-US"/>
        </w:rPr>
        <w:t xml:space="preserve">SALE </w:t>
      </w:r>
      <w:r w:rsidRPr="00483C58">
        <w:rPr>
          <w:rFonts w:ascii="Arial Narrow" w:hAnsi="Arial Narrow"/>
          <w:b/>
          <w:bCs/>
          <w:sz w:val="28"/>
          <w:szCs w:val="28"/>
          <w:lang w:val="en-US"/>
        </w:rPr>
        <w:t>CONTRACTS</w:t>
      </w:r>
    </w:p>
    <w:p w14:paraId="559F96CA" w14:textId="482C3BDF" w:rsidR="00483C58" w:rsidRDefault="00483C58" w:rsidP="00483C58">
      <w:pPr>
        <w:spacing w:after="120" w:line="240" w:lineRule="auto"/>
        <w:jc w:val="center"/>
        <w:rPr>
          <w:rFonts w:ascii="Arial Narrow" w:hAnsi="Arial Narrow"/>
          <w:b/>
          <w:bCs/>
          <w:sz w:val="20"/>
          <w:szCs w:val="20"/>
          <w:lang w:val="en-US"/>
        </w:rPr>
      </w:pPr>
      <w:r>
        <w:rPr>
          <w:rFonts w:ascii="Arial Narrow" w:hAnsi="Arial Narrow"/>
          <w:b/>
          <w:bCs/>
          <w:sz w:val="20"/>
          <w:szCs w:val="20"/>
          <w:lang w:val="en-US"/>
        </w:rPr>
        <w:t>§ 1</w:t>
      </w:r>
    </w:p>
    <w:p w14:paraId="6401AF0E" w14:textId="3530AEA6" w:rsidR="00483C58" w:rsidRDefault="00483C58" w:rsidP="00483C58">
      <w:pPr>
        <w:spacing w:after="120" w:line="240" w:lineRule="auto"/>
        <w:jc w:val="center"/>
        <w:rPr>
          <w:rFonts w:ascii="Arial Narrow" w:hAnsi="Arial Narrow"/>
          <w:b/>
          <w:bCs/>
          <w:sz w:val="20"/>
          <w:szCs w:val="20"/>
          <w:lang w:val="en-US"/>
        </w:rPr>
      </w:pPr>
      <w:r w:rsidRPr="00483C58">
        <w:rPr>
          <w:rFonts w:ascii="Arial Narrow" w:hAnsi="Arial Narrow"/>
          <w:b/>
          <w:bCs/>
          <w:sz w:val="20"/>
          <w:szCs w:val="20"/>
          <w:lang w:val="en-US"/>
        </w:rPr>
        <w:t>Scope and hierarchy of regulations</w:t>
      </w:r>
    </w:p>
    <w:p w14:paraId="27A8F936" w14:textId="1CF9B119" w:rsidR="00483C58" w:rsidRDefault="00483C58" w:rsidP="00483C58">
      <w:pPr>
        <w:pStyle w:val="Akapitzlist"/>
        <w:numPr>
          <w:ilvl w:val="0"/>
          <w:numId w:val="1"/>
        </w:numPr>
        <w:spacing w:after="120" w:line="240" w:lineRule="auto"/>
        <w:ind w:left="284" w:hanging="284"/>
        <w:contextualSpacing w:val="0"/>
        <w:jc w:val="both"/>
        <w:rPr>
          <w:rFonts w:ascii="Arial Narrow" w:hAnsi="Arial Narrow"/>
          <w:sz w:val="20"/>
          <w:szCs w:val="20"/>
          <w:lang w:val="en-US"/>
        </w:rPr>
      </w:pPr>
      <w:r>
        <w:rPr>
          <w:rFonts w:ascii="Arial Narrow" w:hAnsi="Arial Narrow"/>
          <w:sz w:val="20"/>
          <w:szCs w:val="20"/>
          <w:lang w:val="en-US"/>
        </w:rPr>
        <w:t>These General Terms and Conditions of Sale Contracts (</w:t>
      </w:r>
      <w:r w:rsidRPr="00483C58">
        <w:rPr>
          <w:rFonts w:ascii="Arial Narrow" w:hAnsi="Arial Narrow"/>
          <w:sz w:val="20"/>
          <w:szCs w:val="20"/>
          <w:lang w:val="en-US"/>
        </w:rPr>
        <w:t>hereinafter referred to as</w:t>
      </w:r>
      <w:r>
        <w:rPr>
          <w:rFonts w:ascii="Arial Narrow" w:hAnsi="Arial Narrow"/>
          <w:sz w:val="20"/>
          <w:szCs w:val="20"/>
          <w:lang w:val="en-US"/>
        </w:rPr>
        <w:t xml:space="preserve">: </w:t>
      </w:r>
      <w:r w:rsidRPr="00483C58">
        <w:rPr>
          <w:rFonts w:ascii="Arial Narrow" w:hAnsi="Arial Narrow"/>
          <w:b/>
          <w:bCs/>
          <w:sz w:val="20"/>
          <w:szCs w:val="20"/>
          <w:lang w:val="en-US"/>
        </w:rPr>
        <w:t>OWU</w:t>
      </w:r>
      <w:r>
        <w:rPr>
          <w:rFonts w:ascii="Arial Narrow" w:hAnsi="Arial Narrow"/>
          <w:sz w:val="20"/>
          <w:szCs w:val="20"/>
          <w:lang w:val="en-US"/>
        </w:rPr>
        <w:t xml:space="preserve">) use by GFB Dairy Products sp. z </w:t>
      </w:r>
      <w:proofErr w:type="spellStart"/>
      <w:r>
        <w:rPr>
          <w:rFonts w:ascii="Arial Narrow" w:hAnsi="Arial Narrow"/>
          <w:sz w:val="20"/>
          <w:szCs w:val="20"/>
          <w:lang w:val="en-US"/>
        </w:rPr>
        <w:t>o.o.</w:t>
      </w:r>
      <w:proofErr w:type="spellEnd"/>
      <w:r>
        <w:rPr>
          <w:rFonts w:ascii="Arial Narrow" w:hAnsi="Arial Narrow"/>
          <w:sz w:val="20"/>
          <w:szCs w:val="20"/>
          <w:lang w:val="en-US"/>
        </w:rPr>
        <w:t xml:space="preserve"> </w:t>
      </w:r>
      <w:r w:rsidRPr="00483C58">
        <w:rPr>
          <w:rFonts w:ascii="Arial Narrow" w:hAnsi="Arial Narrow"/>
          <w:sz w:val="18"/>
          <w:szCs w:val="18"/>
          <w:lang w:val="en-US"/>
        </w:rPr>
        <w:t xml:space="preserve">with its registered seat in </w:t>
      </w:r>
      <w:r>
        <w:rPr>
          <w:rFonts w:ascii="Arial Narrow" w:hAnsi="Arial Narrow"/>
          <w:sz w:val="18"/>
          <w:szCs w:val="18"/>
          <w:lang w:val="en-US"/>
        </w:rPr>
        <w:t>Warsaw</w:t>
      </w:r>
      <w:r>
        <w:rPr>
          <w:rFonts w:ascii="Arial Narrow" w:hAnsi="Arial Narrow"/>
          <w:sz w:val="18"/>
          <w:szCs w:val="18"/>
          <w:lang w:val="en-US"/>
        </w:rPr>
        <w:t xml:space="preserve">, entered into the register of entrepreneurs kept by the District Court </w:t>
      </w:r>
      <w:r>
        <w:rPr>
          <w:rFonts w:ascii="Arial Narrow" w:hAnsi="Arial Narrow"/>
          <w:sz w:val="18"/>
          <w:szCs w:val="18"/>
          <w:lang w:val="en-US"/>
        </w:rPr>
        <w:t>for Capital City of Warsaw</w:t>
      </w:r>
      <w:r>
        <w:rPr>
          <w:rFonts w:ascii="Arial Narrow" w:hAnsi="Arial Narrow"/>
          <w:sz w:val="18"/>
          <w:szCs w:val="18"/>
          <w:lang w:val="en-US"/>
        </w:rPr>
        <w:t xml:space="preserve"> </w:t>
      </w:r>
      <w:r>
        <w:rPr>
          <w:rFonts w:ascii="Arial Narrow" w:hAnsi="Arial Narrow"/>
          <w:sz w:val="18"/>
          <w:szCs w:val="18"/>
          <w:lang w:val="en-US"/>
        </w:rPr>
        <w:t>in Warsaw, X</w:t>
      </w:r>
      <w:r>
        <w:rPr>
          <w:rFonts w:ascii="Arial Narrow" w:hAnsi="Arial Narrow"/>
          <w:sz w:val="18"/>
          <w:szCs w:val="18"/>
          <w:lang w:val="en-US"/>
        </w:rPr>
        <w:t>I</w:t>
      </w:r>
      <w:r>
        <w:rPr>
          <w:rFonts w:ascii="Arial Narrow" w:hAnsi="Arial Narrow"/>
          <w:sz w:val="18"/>
          <w:szCs w:val="18"/>
          <w:lang w:val="en-US"/>
        </w:rPr>
        <w:t>I</w:t>
      </w:r>
      <w:r>
        <w:rPr>
          <w:rFonts w:ascii="Arial Narrow" w:hAnsi="Arial Narrow"/>
          <w:sz w:val="18"/>
          <w:szCs w:val="18"/>
          <w:lang w:val="en-US"/>
        </w:rPr>
        <w:t xml:space="preserve"> Commercial Department of the National Court Register under its number (KRS) </w:t>
      </w:r>
      <w:r w:rsidRPr="00483C58">
        <w:rPr>
          <w:rFonts w:ascii="Arial Narrow" w:hAnsi="Arial Narrow"/>
          <w:sz w:val="20"/>
          <w:szCs w:val="20"/>
          <w:lang w:val="en-US"/>
        </w:rPr>
        <w:t>0000767029</w:t>
      </w:r>
      <w:r>
        <w:rPr>
          <w:rFonts w:ascii="Arial Narrow" w:hAnsi="Arial Narrow"/>
          <w:sz w:val="18"/>
          <w:szCs w:val="18"/>
          <w:lang w:val="en-US"/>
        </w:rPr>
        <w:t xml:space="preserve">, NIP </w:t>
      </w:r>
      <w:r w:rsidRPr="00483C58">
        <w:rPr>
          <w:rFonts w:ascii="Arial Narrow" w:hAnsi="Arial Narrow"/>
          <w:sz w:val="20"/>
          <w:szCs w:val="20"/>
          <w:lang w:val="en-US"/>
        </w:rPr>
        <w:t>5252777274</w:t>
      </w:r>
      <w:r>
        <w:rPr>
          <w:rFonts w:ascii="Arial Narrow" w:hAnsi="Arial Narrow"/>
          <w:sz w:val="18"/>
          <w:szCs w:val="18"/>
          <w:lang w:val="en-US"/>
        </w:rPr>
        <w:t xml:space="preserve">, REGON </w:t>
      </w:r>
      <w:r w:rsidRPr="00483C58">
        <w:rPr>
          <w:rFonts w:ascii="Arial Narrow" w:hAnsi="Arial Narrow"/>
          <w:sz w:val="20"/>
          <w:szCs w:val="20"/>
          <w:lang w:val="en-US"/>
        </w:rPr>
        <w:t>38234167600000</w:t>
      </w:r>
      <w:r>
        <w:rPr>
          <w:rFonts w:ascii="Arial Narrow" w:hAnsi="Arial Narrow"/>
          <w:sz w:val="20"/>
          <w:szCs w:val="20"/>
          <w:lang w:val="en-US"/>
        </w:rPr>
        <w:t xml:space="preserve"> (</w:t>
      </w:r>
      <w:r w:rsidRPr="00483C58">
        <w:rPr>
          <w:rFonts w:ascii="Arial Narrow" w:hAnsi="Arial Narrow"/>
          <w:sz w:val="20"/>
          <w:szCs w:val="20"/>
          <w:lang w:val="en-US"/>
        </w:rPr>
        <w:t>hereinafter referred to as</w:t>
      </w:r>
      <w:r>
        <w:rPr>
          <w:rFonts w:ascii="Arial Narrow" w:hAnsi="Arial Narrow"/>
          <w:sz w:val="20"/>
          <w:szCs w:val="20"/>
          <w:lang w:val="en-US"/>
        </w:rPr>
        <w:t xml:space="preserve">: </w:t>
      </w:r>
      <w:r>
        <w:rPr>
          <w:rFonts w:ascii="Arial Narrow" w:hAnsi="Arial Narrow"/>
          <w:b/>
          <w:bCs/>
          <w:sz w:val="20"/>
          <w:szCs w:val="20"/>
          <w:lang w:val="en-US"/>
        </w:rPr>
        <w:t xml:space="preserve">GFB) </w:t>
      </w:r>
      <w:r>
        <w:rPr>
          <w:rFonts w:ascii="Arial Narrow" w:hAnsi="Arial Narrow"/>
          <w:sz w:val="20"/>
          <w:szCs w:val="20"/>
          <w:lang w:val="en-US"/>
        </w:rPr>
        <w:t xml:space="preserve">are applicable to all contracts </w:t>
      </w:r>
      <w:r>
        <w:rPr>
          <w:rFonts w:ascii="Arial Narrow" w:hAnsi="Arial Narrow"/>
          <w:sz w:val="20"/>
          <w:szCs w:val="20"/>
          <w:lang w:val="en-US"/>
        </w:rPr>
        <w:t>mentioned in § 2 sect. 1 pkt 9</w:t>
      </w:r>
      <w:r>
        <w:rPr>
          <w:rFonts w:ascii="Arial Narrow" w:hAnsi="Arial Narrow"/>
          <w:sz w:val="20"/>
          <w:szCs w:val="20"/>
          <w:lang w:val="en-US"/>
        </w:rPr>
        <w:t>, signed by GFB.</w:t>
      </w:r>
    </w:p>
    <w:p w14:paraId="320BC601" w14:textId="60D93633" w:rsidR="00483C58" w:rsidRDefault="00483C58" w:rsidP="00483C58">
      <w:pPr>
        <w:spacing w:after="120" w:line="240" w:lineRule="auto"/>
        <w:jc w:val="center"/>
        <w:rPr>
          <w:rFonts w:ascii="Arial Narrow" w:hAnsi="Arial Narrow"/>
          <w:b/>
          <w:bCs/>
          <w:sz w:val="20"/>
          <w:szCs w:val="20"/>
          <w:lang w:val="en-US"/>
        </w:rPr>
      </w:pPr>
      <w:r>
        <w:rPr>
          <w:rFonts w:ascii="Arial Narrow" w:hAnsi="Arial Narrow"/>
          <w:b/>
          <w:bCs/>
          <w:sz w:val="20"/>
          <w:szCs w:val="20"/>
          <w:lang w:val="en-US"/>
        </w:rPr>
        <w:t>§ 2</w:t>
      </w:r>
    </w:p>
    <w:p w14:paraId="080133AC" w14:textId="443873F5" w:rsidR="00483C58" w:rsidRDefault="00483C58" w:rsidP="00483C58">
      <w:pPr>
        <w:spacing w:after="120" w:line="240" w:lineRule="auto"/>
        <w:jc w:val="center"/>
        <w:rPr>
          <w:rFonts w:ascii="Arial Narrow" w:hAnsi="Arial Narrow"/>
          <w:b/>
          <w:bCs/>
          <w:sz w:val="20"/>
          <w:szCs w:val="20"/>
          <w:lang w:val="en-US"/>
        </w:rPr>
      </w:pPr>
      <w:r>
        <w:rPr>
          <w:rFonts w:ascii="Arial Narrow" w:hAnsi="Arial Narrow"/>
          <w:b/>
          <w:bCs/>
          <w:sz w:val="20"/>
          <w:szCs w:val="20"/>
          <w:lang w:val="en-US"/>
        </w:rPr>
        <w:t>Definitions</w:t>
      </w:r>
    </w:p>
    <w:p w14:paraId="44C55C30" w14:textId="51B2887F" w:rsidR="00483C58" w:rsidRDefault="00483C58" w:rsidP="00483C58">
      <w:pPr>
        <w:pStyle w:val="Akapitzlist"/>
        <w:numPr>
          <w:ilvl w:val="0"/>
          <w:numId w:val="2"/>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For the purposes of th</w:t>
      </w:r>
      <w:r>
        <w:rPr>
          <w:rFonts w:ascii="Arial Narrow" w:hAnsi="Arial Narrow"/>
          <w:sz w:val="20"/>
          <w:szCs w:val="20"/>
          <w:lang w:val="en-US"/>
        </w:rPr>
        <w:t>ese OWU</w:t>
      </w:r>
      <w:r w:rsidRPr="00483C58">
        <w:rPr>
          <w:rFonts w:ascii="Arial Narrow" w:hAnsi="Arial Narrow"/>
          <w:sz w:val="20"/>
          <w:szCs w:val="20"/>
          <w:lang w:val="en-US"/>
        </w:rPr>
        <w:t>, the following terms shall have the following meanings:</w:t>
      </w:r>
    </w:p>
    <w:p w14:paraId="492B45DB" w14:textId="0DCCAF90" w:rsidR="00483C58" w:rsidRDefault="00483C58" w:rsidP="00483C58">
      <w:pPr>
        <w:pStyle w:val="Akapitzlist"/>
        <w:numPr>
          <w:ilvl w:val="0"/>
          <w:numId w:val="3"/>
        </w:numPr>
        <w:spacing w:after="120" w:line="240" w:lineRule="auto"/>
        <w:ind w:left="567" w:hanging="283"/>
        <w:contextualSpacing w:val="0"/>
        <w:jc w:val="both"/>
        <w:rPr>
          <w:rFonts w:ascii="Arial Narrow" w:hAnsi="Arial Narrow"/>
          <w:sz w:val="20"/>
          <w:szCs w:val="20"/>
          <w:lang w:val="en-US"/>
        </w:rPr>
      </w:pPr>
      <w:r>
        <w:rPr>
          <w:rFonts w:ascii="Arial Narrow" w:hAnsi="Arial Narrow"/>
          <w:sz w:val="20"/>
          <w:szCs w:val="20"/>
          <w:lang w:val="en-US"/>
        </w:rPr>
        <w:t xml:space="preserve">Client – an entity that places an order or purchases Products from </w:t>
      </w:r>
      <w:proofErr w:type="gramStart"/>
      <w:r>
        <w:rPr>
          <w:rFonts w:ascii="Arial Narrow" w:hAnsi="Arial Narrow"/>
          <w:sz w:val="20"/>
          <w:szCs w:val="20"/>
          <w:lang w:val="en-US"/>
        </w:rPr>
        <w:t>GFB;</w:t>
      </w:r>
      <w:proofErr w:type="gramEnd"/>
    </w:p>
    <w:p w14:paraId="5D35924B" w14:textId="0077CF54" w:rsidR="00483C58" w:rsidRDefault="00483C58" w:rsidP="00483C58">
      <w:pPr>
        <w:pStyle w:val="Akapitzlist"/>
        <w:numPr>
          <w:ilvl w:val="0"/>
          <w:numId w:val="3"/>
        </w:numPr>
        <w:spacing w:after="120" w:line="240" w:lineRule="auto"/>
        <w:ind w:left="567" w:hanging="283"/>
        <w:contextualSpacing w:val="0"/>
        <w:jc w:val="both"/>
        <w:rPr>
          <w:rFonts w:ascii="Arial Narrow" w:hAnsi="Arial Narrow"/>
          <w:sz w:val="20"/>
          <w:szCs w:val="20"/>
          <w:lang w:val="en-US"/>
        </w:rPr>
      </w:pPr>
      <w:r>
        <w:rPr>
          <w:rFonts w:ascii="Arial Narrow" w:hAnsi="Arial Narrow"/>
          <w:sz w:val="20"/>
          <w:szCs w:val="20"/>
          <w:lang w:val="en-US"/>
        </w:rPr>
        <w:t xml:space="preserve">Third party – entity other than GFB or </w:t>
      </w:r>
      <w:proofErr w:type="gramStart"/>
      <w:r>
        <w:rPr>
          <w:rFonts w:ascii="Arial Narrow" w:hAnsi="Arial Narrow"/>
          <w:sz w:val="20"/>
          <w:szCs w:val="20"/>
          <w:lang w:val="en-US"/>
        </w:rPr>
        <w:t>Client;</w:t>
      </w:r>
      <w:proofErr w:type="gramEnd"/>
    </w:p>
    <w:p w14:paraId="5BDBED80" w14:textId="0F597CD8" w:rsidR="00483C58" w:rsidRDefault="00483C58" w:rsidP="00483C58">
      <w:pPr>
        <w:pStyle w:val="Akapitzlist"/>
        <w:numPr>
          <w:ilvl w:val="0"/>
          <w:numId w:val="3"/>
        </w:numPr>
        <w:spacing w:after="120" w:line="240" w:lineRule="auto"/>
        <w:ind w:left="567" w:hanging="283"/>
        <w:contextualSpacing w:val="0"/>
        <w:jc w:val="both"/>
        <w:rPr>
          <w:rFonts w:ascii="Arial Narrow" w:hAnsi="Arial Narrow"/>
          <w:sz w:val="20"/>
          <w:szCs w:val="20"/>
          <w:lang w:val="en-US"/>
        </w:rPr>
      </w:pPr>
      <w:r>
        <w:rPr>
          <w:rFonts w:ascii="Arial Narrow" w:hAnsi="Arial Narrow"/>
          <w:sz w:val="20"/>
          <w:szCs w:val="20"/>
          <w:lang w:val="en-US"/>
        </w:rPr>
        <w:t xml:space="preserve">Products – all foodstuffs produced by </w:t>
      </w:r>
      <w:proofErr w:type="gramStart"/>
      <w:r>
        <w:rPr>
          <w:rFonts w:ascii="Arial Narrow" w:hAnsi="Arial Narrow"/>
          <w:sz w:val="20"/>
          <w:szCs w:val="20"/>
          <w:lang w:val="en-US"/>
        </w:rPr>
        <w:t>GFB;</w:t>
      </w:r>
      <w:proofErr w:type="gramEnd"/>
    </w:p>
    <w:p w14:paraId="0016F732" w14:textId="77172E34" w:rsidR="00483C58" w:rsidRDefault="00483C58" w:rsidP="00483C58">
      <w:pPr>
        <w:pStyle w:val="Akapitzlist"/>
        <w:numPr>
          <w:ilvl w:val="0"/>
          <w:numId w:val="3"/>
        </w:numPr>
        <w:spacing w:after="120" w:line="240" w:lineRule="auto"/>
        <w:ind w:left="567" w:hanging="283"/>
        <w:contextualSpacing w:val="0"/>
        <w:jc w:val="both"/>
        <w:rPr>
          <w:rFonts w:ascii="Arial Narrow" w:hAnsi="Arial Narrow"/>
          <w:sz w:val="20"/>
          <w:szCs w:val="20"/>
          <w:lang w:val="en-US"/>
        </w:rPr>
      </w:pPr>
      <w:r>
        <w:rPr>
          <w:rFonts w:ascii="Arial Narrow" w:hAnsi="Arial Narrow"/>
          <w:sz w:val="20"/>
          <w:szCs w:val="20"/>
          <w:lang w:val="en-US"/>
        </w:rPr>
        <w:t xml:space="preserve">Production – food processing used by GFB to make </w:t>
      </w:r>
      <w:proofErr w:type="gramStart"/>
      <w:r>
        <w:rPr>
          <w:rFonts w:ascii="Arial Narrow" w:hAnsi="Arial Narrow"/>
          <w:sz w:val="20"/>
          <w:szCs w:val="20"/>
          <w:lang w:val="en-US"/>
        </w:rPr>
        <w:t>Products;</w:t>
      </w:r>
      <w:proofErr w:type="gramEnd"/>
    </w:p>
    <w:p w14:paraId="39084094" w14:textId="4F546E06" w:rsidR="00483C58" w:rsidRDefault="00483C58" w:rsidP="00483C58">
      <w:pPr>
        <w:pStyle w:val="Akapitzlist"/>
        <w:numPr>
          <w:ilvl w:val="0"/>
          <w:numId w:val="3"/>
        </w:numPr>
        <w:spacing w:after="120" w:line="240" w:lineRule="auto"/>
        <w:ind w:left="567" w:hanging="283"/>
        <w:contextualSpacing w:val="0"/>
        <w:jc w:val="both"/>
        <w:rPr>
          <w:rFonts w:ascii="Arial Narrow" w:hAnsi="Arial Narrow"/>
          <w:sz w:val="20"/>
          <w:szCs w:val="20"/>
          <w:lang w:val="en-US"/>
        </w:rPr>
      </w:pPr>
      <w:r>
        <w:rPr>
          <w:rFonts w:ascii="Arial Narrow" w:hAnsi="Arial Narrow"/>
          <w:sz w:val="20"/>
          <w:szCs w:val="20"/>
          <w:lang w:val="en-US"/>
        </w:rPr>
        <w:t xml:space="preserve">Form – </w:t>
      </w:r>
      <w:r w:rsidRPr="00483C58">
        <w:rPr>
          <w:rFonts w:ascii="Arial Narrow" w:hAnsi="Arial Narrow"/>
          <w:sz w:val="20"/>
          <w:szCs w:val="20"/>
          <w:lang w:val="en-US"/>
        </w:rPr>
        <w:t xml:space="preserve">the print used by GFB specifying the details of each order, which is the basis for its </w:t>
      </w:r>
      <w:proofErr w:type="gramStart"/>
      <w:r w:rsidRPr="00483C58">
        <w:rPr>
          <w:rFonts w:ascii="Arial Narrow" w:hAnsi="Arial Narrow"/>
          <w:sz w:val="20"/>
          <w:szCs w:val="20"/>
          <w:lang w:val="en-US"/>
        </w:rPr>
        <w:t>execution</w:t>
      </w:r>
      <w:r>
        <w:rPr>
          <w:rFonts w:ascii="Arial Narrow" w:hAnsi="Arial Narrow"/>
          <w:sz w:val="20"/>
          <w:szCs w:val="20"/>
          <w:lang w:val="en-US"/>
        </w:rPr>
        <w:t>;</w:t>
      </w:r>
      <w:proofErr w:type="gramEnd"/>
    </w:p>
    <w:p w14:paraId="6C6884D6" w14:textId="750DB86A" w:rsidR="00483C58" w:rsidRDefault="00483C58" w:rsidP="00483C58">
      <w:pPr>
        <w:pStyle w:val="Akapitzlist"/>
        <w:numPr>
          <w:ilvl w:val="0"/>
          <w:numId w:val="3"/>
        </w:numPr>
        <w:spacing w:after="120" w:line="240" w:lineRule="auto"/>
        <w:ind w:left="567" w:hanging="283"/>
        <w:contextualSpacing w:val="0"/>
        <w:jc w:val="both"/>
        <w:rPr>
          <w:rFonts w:ascii="Arial Narrow" w:hAnsi="Arial Narrow"/>
          <w:sz w:val="20"/>
          <w:szCs w:val="20"/>
          <w:lang w:val="en-US"/>
        </w:rPr>
      </w:pPr>
      <w:r>
        <w:rPr>
          <w:rFonts w:ascii="Arial Narrow" w:hAnsi="Arial Narrow"/>
          <w:sz w:val="20"/>
          <w:szCs w:val="20"/>
          <w:lang w:val="en-US"/>
        </w:rPr>
        <w:t xml:space="preserve">Complaint - </w:t>
      </w:r>
      <w:r w:rsidRPr="00483C58">
        <w:rPr>
          <w:rFonts w:ascii="Arial Narrow" w:hAnsi="Arial Narrow"/>
          <w:sz w:val="20"/>
          <w:szCs w:val="20"/>
          <w:lang w:val="en-US"/>
        </w:rPr>
        <w:t xml:space="preserve">in accordance with the </w:t>
      </w:r>
      <w:r>
        <w:rPr>
          <w:rFonts w:ascii="Arial Narrow" w:hAnsi="Arial Narrow"/>
          <w:sz w:val="20"/>
          <w:szCs w:val="20"/>
          <w:lang w:val="en-US"/>
        </w:rPr>
        <w:t>rękojmia</w:t>
      </w:r>
      <w:r w:rsidRPr="00483C58">
        <w:rPr>
          <w:rFonts w:ascii="Arial Narrow" w:hAnsi="Arial Narrow"/>
          <w:sz w:val="20"/>
          <w:szCs w:val="20"/>
          <w:lang w:val="en-US"/>
        </w:rPr>
        <w:t xml:space="preserve"> regulations, written notice of the defect in the </w:t>
      </w:r>
      <w:proofErr w:type="gramStart"/>
      <w:r w:rsidRPr="00483C58">
        <w:rPr>
          <w:rFonts w:ascii="Arial Narrow" w:hAnsi="Arial Narrow"/>
          <w:sz w:val="20"/>
          <w:szCs w:val="20"/>
          <w:lang w:val="en-US"/>
        </w:rPr>
        <w:t>Products</w:t>
      </w:r>
      <w:r>
        <w:rPr>
          <w:rFonts w:ascii="Arial Narrow" w:hAnsi="Arial Narrow"/>
          <w:sz w:val="20"/>
          <w:szCs w:val="20"/>
          <w:lang w:val="en-US"/>
        </w:rPr>
        <w:t>;</w:t>
      </w:r>
      <w:proofErr w:type="gramEnd"/>
    </w:p>
    <w:p w14:paraId="61380676" w14:textId="2A68AB5A" w:rsidR="00483C58" w:rsidRDefault="00483C58" w:rsidP="00483C58">
      <w:pPr>
        <w:pStyle w:val="Akapitzlist"/>
        <w:numPr>
          <w:ilvl w:val="0"/>
          <w:numId w:val="3"/>
        </w:numPr>
        <w:spacing w:after="120" w:line="240" w:lineRule="auto"/>
        <w:ind w:left="567" w:hanging="283"/>
        <w:contextualSpacing w:val="0"/>
        <w:jc w:val="both"/>
        <w:rPr>
          <w:rFonts w:ascii="Arial Narrow" w:hAnsi="Arial Narrow"/>
          <w:sz w:val="20"/>
          <w:szCs w:val="20"/>
          <w:lang w:val="en-US"/>
        </w:rPr>
      </w:pPr>
      <w:r>
        <w:rPr>
          <w:rFonts w:ascii="Arial Narrow" w:hAnsi="Arial Narrow"/>
          <w:sz w:val="20"/>
          <w:szCs w:val="20"/>
          <w:lang w:val="en-US"/>
        </w:rPr>
        <w:t xml:space="preserve">Workers - </w:t>
      </w:r>
      <w:r w:rsidRPr="00483C58">
        <w:rPr>
          <w:rFonts w:ascii="Arial Narrow" w:hAnsi="Arial Narrow"/>
          <w:sz w:val="20"/>
          <w:szCs w:val="20"/>
          <w:lang w:val="en-US"/>
        </w:rPr>
        <w:t xml:space="preserve">natural persons connected with GFB or the </w:t>
      </w:r>
      <w:r>
        <w:rPr>
          <w:rFonts w:ascii="Arial Narrow" w:hAnsi="Arial Narrow"/>
          <w:sz w:val="20"/>
          <w:szCs w:val="20"/>
          <w:lang w:val="en-US"/>
        </w:rPr>
        <w:t>Client</w:t>
      </w:r>
      <w:r w:rsidRPr="00483C58">
        <w:rPr>
          <w:rFonts w:ascii="Arial Narrow" w:hAnsi="Arial Narrow"/>
          <w:sz w:val="20"/>
          <w:szCs w:val="20"/>
          <w:lang w:val="en-US"/>
        </w:rPr>
        <w:t xml:space="preserve"> by an employment relationship or a civil la</w:t>
      </w:r>
      <w:r>
        <w:rPr>
          <w:rFonts w:ascii="Arial Narrow" w:hAnsi="Arial Narrow"/>
          <w:sz w:val="20"/>
          <w:szCs w:val="20"/>
          <w:lang w:val="en-US"/>
        </w:rPr>
        <w:t xml:space="preserve">w </w:t>
      </w:r>
      <w:r w:rsidRPr="00483C58">
        <w:rPr>
          <w:rFonts w:ascii="Arial Narrow" w:hAnsi="Arial Narrow"/>
          <w:sz w:val="20"/>
          <w:szCs w:val="20"/>
          <w:lang w:val="en-US"/>
        </w:rPr>
        <w:t xml:space="preserve">relationship concerning the provision of services to the Party, for whose actions or omissions the Party is responsible as for its </w:t>
      </w:r>
      <w:proofErr w:type="gramStart"/>
      <w:r w:rsidRPr="00483C58">
        <w:rPr>
          <w:rFonts w:ascii="Arial Narrow" w:hAnsi="Arial Narrow"/>
          <w:sz w:val="20"/>
          <w:szCs w:val="20"/>
          <w:lang w:val="en-US"/>
        </w:rPr>
        <w:t>own</w:t>
      </w:r>
      <w:r>
        <w:rPr>
          <w:rFonts w:ascii="Arial Narrow" w:hAnsi="Arial Narrow"/>
          <w:sz w:val="20"/>
          <w:szCs w:val="20"/>
          <w:lang w:val="en-US"/>
        </w:rPr>
        <w:t>;</w:t>
      </w:r>
      <w:proofErr w:type="gramEnd"/>
    </w:p>
    <w:p w14:paraId="44245B32" w14:textId="0C826474" w:rsidR="00483C58" w:rsidRDefault="00483C58" w:rsidP="00483C58">
      <w:pPr>
        <w:pStyle w:val="Akapitzlist"/>
        <w:numPr>
          <w:ilvl w:val="0"/>
          <w:numId w:val="3"/>
        </w:numPr>
        <w:spacing w:after="120" w:line="240" w:lineRule="auto"/>
        <w:ind w:left="567" w:hanging="283"/>
        <w:contextualSpacing w:val="0"/>
        <w:jc w:val="both"/>
        <w:rPr>
          <w:rFonts w:ascii="Arial Narrow" w:hAnsi="Arial Narrow"/>
          <w:sz w:val="20"/>
          <w:szCs w:val="20"/>
          <w:lang w:val="en-US"/>
        </w:rPr>
      </w:pPr>
      <w:r>
        <w:rPr>
          <w:rFonts w:ascii="Arial Narrow" w:hAnsi="Arial Narrow"/>
          <w:sz w:val="20"/>
          <w:szCs w:val="20"/>
          <w:lang w:val="en-US"/>
        </w:rPr>
        <w:t xml:space="preserve">Parties – Client and GFB together or </w:t>
      </w:r>
      <w:proofErr w:type="gramStart"/>
      <w:r>
        <w:rPr>
          <w:rFonts w:ascii="Arial Narrow" w:hAnsi="Arial Narrow"/>
          <w:sz w:val="20"/>
          <w:szCs w:val="20"/>
          <w:lang w:val="en-US"/>
        </w:rPr>
        <w:t>separate;</w:t>
      </w:r>
      <w:proofErr w:type="gramEnd"/>
    </w:p>
    <w:p w14:paraId="1C45E295" w14:textId="3A809DEB" w:rsidR="00483C58" w:rsidRDefault="00483C58" w:rsidP="00483C58">
      <w:pPr>
        <w:pStyle w:val="Akapitzlist"/>
        <w:numPr>
          <w:ilvl w:val="0"/>
          <w:numId w:val="3"/>
        </w:numPr>
        <w:spacing w:after="120" w:line="240" w:lineRule="auto"/>
        <w:ind w:left="567" w:hanging="283"/>
        <w:contextualSpacing w:val="0"/>
        <w:jc w:val="both"/>
        <w:rPr>
          <w:rFonts w:ascii="Arial Narrow" w:hAnsi="Arial Narrow"/>
          <w:sz w:val="20"/>
          <w:szCs w:val="20"/>
          <w:lang w:val="en-US"/>
        </w:rPr>
      </w:pPr>
      <w:r>
        <w:rPr>
          <w:rFonts w:ascii="Arial Narrow" w:hAnsi="Arial Narrow"/>
          <w:sz w:val="20"/>
          <w:szCs w:val="20"/>
          <w:lang w:val="en-US"/>
        </w:rPr>
        <w:t>Contract – Sale Contract of Products described in Form and OWU.</w:t>
      </w:r>
    </w:p>
    <w:p w14:paraId="743BED88" w14:textId="7B474D45" w:rsidR="00483C58" w:rsidRDefault="00483C58" w:rsidP="00483C58">
      <w:pPr>
        <w:pStyle w:val="Akapitzlist"/>
        <w:numPr>
          <w:ilvl w:val="0"/>
          <w:numId w:val="5"/>
        </w:numPr>
        <w:spacing w:after="120" w:line="240" w:lineRule="auto"/>
        <w:ind w:left="284" w:hanging="284"/>
        <w:contextualSpacing w:val="0"/>
        <w:jc w:val="both"/>
        <w:rPr>
          <w:rFonts w:ascii="Arial Narrow" w:hAnsi="Arial Narrow"/>
          <w:sz w:val="20"/>
          <w:szCs w:val="20"/>
          <w:lang w:val="en-US"/>
        </w:rPr>
      </w:pPr>
      <w:r>
        <w:rPr>
          <w:rFonts w:ascii="Arial Narrow" w:hAnsi="Arial Narrow"/>
          <w:sz w:val="20"/>
          <w:szCs w:val="20"/>
          <w:lang w:val="en-US"/>
        </w:rPr>
        <w:t>Terms mentioned in sect. 1 (above) but not started from capital letter still have common meaning.</w:t>
      </w:r>
    </w:p>
    <w:p w14:paraId="796C58A8" w14:textId="5EF78655" w:rsidR="00483C58" w:rsidRDefault="00483C58" w:rsidP="00483C58">
      <w:pPr>
        <w:spacing w:after="120" w:line="240" w:lineRule="auto"/>
        <w:jc w:val="center"/>
        <w:rPr>
          <w:rFonts w:ascii="Arial Narrow" w:hAnsi="Arial Narrow"/>
          <w:b/>
          <w:bCs/>
          <w:sz w:val="20"/>
          <w:szCs w:val="20"/>
          <w:lang w:val="en-US"/>
        </w:rPr>
      </w:pPr>
      <w:r w:rsidRPr="00483C58">
        <w:rPr>
          <w:rFonts w:ascii="Arial Narrow" w:hAnsi="Arial Narrow"/>
          <w:b/>
          <w:bCs/>
          <w:sz w:val="20"/>
          <w:szCs w:val="20"/>
          <w:lang w:val="en-US"/>
        </w:rPr>
        <w:t>§ 3</w:t>
      </w:r>
    </w:p>
    <w:p w14:paraId="58E95919" w14:textId="0FBC1295" w:rsidR="00483C58" w:rsidRDefault="00483C58" w:rsidP="00483C58">
      <w:pPr>
        <w:spacing w:after="120" w:line="240" w:lineRule="auto"/>
        <w:jc w:val="center"/>
        <w:rPr>
          <w:rFonts w:ascii="Arial Narrow" w:hAnsi="Arial Narrow"/>
          <w:b/>
          <w:bCs/>
          <w:sz w:val="20"/>
          <w:szCs w:val="20"/>
          <w:lang w:val="en-US"/>
        </w:rPr>
      </w:pPr>
      <w:r>
        <w:rPr>
          <w:rFonts w:ascii="Arial Narrow" w:hAnsi="Arial Narrow"/>
          <w:b/>
          <w:bCs/>
          <w:sz w:val="20"/>
          <w:szCs w:val="20"/>
          <w:lang w:val="en-US"/>
        </w:rPr>
        <w:t>Scope and basic regulations of cooperation</w:t>
      </w:r>
    </w:p>
    <w:p w14:paraId="3D219B6C" w14:textId="7337065A" w:rsidR="00483C58" w:rsidRDefault="00483C58" w:rsidP="00483C58">
      <w:pPr>
        <w:pStyle w:val="Akapitzlist"/>
        <w:numPr>
          <w:ilvl w:val="0"/>
          <w:numId w:val="7"/>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The primary purpose of cooperation between the Parties is the sale of the Product in accordance with the order contained in the Form, by GFB to the</w:t>
      </w:r>
      <w:r>
        <w:rPr>
          <w:rFonts w:ascii="Arial Narrow" w:hAnsi="Arial Narrow"/>
          <w:sz w:val="20"/>
          <w:szCs w:val="20"/>
          <w:lang w:val="en-US"/>
        </w:rPr>
        <w:t xml:space="preserve"> Client.</w:t>
      </w:r>
    </w:p>
    <w:p w14:paraId="5FBD2CD4" w14:textId="2F44FF98" w:rsidR="00483C58" w:rsidRDefault="00483C58" w:rsidP="00483C58">
      <w:pPr>
        <w:pStyle w:val="Akapitzlist"/>
        <w:numPr>
          <w:ilvl w:val="0"/>
          <w:numId w:val="7"/>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Binding on the Parties are the generally applicable provisions of Polish law under which all issues not regulated in these </w:t>
      </w:r>
      <w:r>
        <w:rPr>
          <w:rFonts w:ascii="Arial Narrow" w:hAnsi="Arial Narrow"/>
          <w:sz w:val="20"/>
          <w:szCs w:val="20"/>
          <w:lang w:val="en-US"/>
        </w:rPr>
        <w:t>OWU</w:t>
      </w:r>
      <w:r w:rsidRPr="00483C58">
        <w:rPr>
          <w:rFonts w:ascii="Arial Narrow" w:hAnsi="Arial Narrow"/>
          <w:sz w:val="20"/>
          <w:szCs w:val="20"/>
          <w:lang w:val="en-US"/>
        </w:rPr>
        <w:t xml:space="preserve"> will be resolved.</w:t>
      </w:r>
    </w:p>
    <w:p w14:paraId="050E2CAF" w14:textId="2C6489F5" w:rsidR="00483C58" w:rsidRDefault="00483C58" w:rsidP="00483C58">
      <w:pPr>
        <w:pStyle w:val="Akapitzlist"/>
        <w:numPr>
          <w:ilvl w:val="0"/>
          <w:numId w:val="7"/>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The parties unanimously declare that any disputes arising out of the execution of the Agreement, will be submitted to the settlement of the Court with local jurisdiction over the seat of the GFB.</w:t>
      </w:r>
    </w:p>
    <w:p w14:paraId="280D345A" w14:textId="54BED8A4" w:rsidR="00483C58" w:rsidRDefault="00483C58" w:rsidP="00483C58">
      <w:pPr>
        <w:pStyle w:val="Akapitzlist"/>
        <w:numPr>
          <w:ilvl w:val="0"/>
          <w:numId w:val="7"/>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Any amendments to the Agreement concluded between the Parties shall be in writing</w:t>
      </w:r>
      <w:r>
        <w:rPr>
          <w:rFonts w:ascii="Arial Narrow" w:hAnsi="Arial Narrow"/>
          <w:sz w:val="20"/>
          <w:szCs w:val="20"/>
          <w:lang w:val="en-US"/>
        </w:rPr>
        <w:t xml:space="preserve"> form</w:t>
      </w:r>
      <w:r w:rsidRPr="00483C58">
        <w:rPr>
          <w:rFonts w:ascii="Arial Narrow" w:hAnsi="Arial Narrow"/>
          <w:sz w:val="20"/>
          <w:szCs w:val="20"/>
          <w:lang w:val="en-US"/>
        </w:rPr>
        <w:t xml:space="preserve"> under pain of nullity.</w:t>
      </w:r>
    </w:p>
    <w:p w14:paraId="3889EEEF" w14:textId="273AE0CD" w:rsidR="00483C58" w:rsidRDefault="00483C58" w:rsidP="00483C58">
      <w:pPr>
        <w:pStyle w:val="Akapitzlist"/>
        <w:numPr>
          <w:ilvl w:val="0"/>
          <w:numId w:val="7"/>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These </w:t>
      </w:r>
      <w:r>
        <w:rPr>
          <w:rFonts w:ascii="Arial Narrow" w:hAnsi="Arial Narrow"/>
          <w:sz w:val="20"/>
          <w:szCs w:val="20"/>
          <w:lang w:val="en-US"/>
        </w:rPr>
        <w:t>OWU</w:t>
      </w:r>
      <w:r w:rsidRPr="00483C58">
        <w:rPr>
          <w:rFonts w:ascii="Arial Narrow" w:hAnsi="Arial Narrow"/>
          <w:sz w:val="20"/>
          <w:szCs w:val="20"/>
          <w:lang w:val="en-US"/>
        </w:rPr>
        <w:t xml:space="preserve"> constitute an integral part of the Agreement concluded between the Parties, and the Parties are obliged to comply with them.</w:t>
      </w:r>
    </w:p>
    <w:p w14:paraId="18CECF3F" w14:textId="4D6CB32E" w:rsidR="00483C58" w:rsidRPr="00483C58" w:rsidRDefault="00483C58" w:rsidP="00483C58">
      <w:pPr>
        <w:pStyle w:val="Akapitzlist"/>
        <w:numPr>
          <w:ilvl w:val="0"/>
          <w:numId w:val="7"/>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Each Party shall ensure that it conducts business in its own name and on its own account and that it has the necessary skills and experience to perform the Agreement. Each Party shall be independently and solely responsible for obligations arising from the conduct of such business.</w:t>
      </w:r>
    </w:p>
    <w:p w14:paraId="5E22C58C" w14:textId="35224AE5" w:rsidR="00483C58" w:rsidRDefault="00483C58" w:rsidP="00483C58">
      <w:pPr>
        <w:pStyle w:val="Akapitzlist"/>
        <w:numPr>
          <w:ilvl w:val="0"/>
          <w:numId w:val="7"/>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Each Party represents that no bankruptcy or restructuring proceedings are pending against it. </w:t>
      </w:r>
      <w:r w:rsidRPr="00483C58">
        <w:rPr>
          <w:rFonts w:ascii="Arial Narrow" w:hAnsi="Arial Narrow"/>
          <w:sz w:val="20"/>
          <w:szCs w:val="20"/>
          <w:lang w:val="en-US"/>
        </w:rPr>
        <w:t>If</w:t>
      </w:r>
      <w:r w:rsidRPr="00483C58">
        <w:rPr>
          <w:rFonts w:ascii="Arial Narrow" w:hAnsi="Arial Narrow"/>
          <w:sz w:val="20"/>
          <w:szCs w:val="20"/>
          <w:lang w:val="en-US"/>
        </w:rPr>
        <w:t xml:space="preserve"> such proceedings are opened against either Party, such Party undertakes to immediately notify the other Party of the opening of bankruptcy or restructuring proceedings against it.</w:t>
      </w:r>
    </w:p>
    <w:p w14:paraId="2FE1BC58" w14:textId="176FA6DB" w:rsidR="00483C58" w:rsidRDefault="00483C58" w:rsidP="00483C58">
      <w:pPr>
        <w:pStyle w:val="Akapitzlist"/>
        <w:numPr>
          <w:ilvl w:val="0"/>
          <w:numId w:val="7"/>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Each Party shall ensure that it is an active VAT taxpayer, registered for intra-Community supply of goods and services.</w:t>
      </w:r>
    </w:p>
    <w:p w14:paraId="3160E40B" w14:textId="6384A7D5" w:rsidR="00483C58" w:rsidRDefault="00483C58" w:rsidP="00483C58">
      <w:pPr>
        <w:pStyle w:val="Akapitzlist"/>
        <w:numPr>
          <w:ilvl w:val="0"/>
          <w:numId w:val="7"/>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Each Party undertakes to perform all its obligations, with the utmost care, </w:t>
      </w:r>
      <w:r w:rsidRPr="00483C58">
        <w:rPr>
          <w:rFonts w:ascii="Arial Narrow" w:hAnsi="Arial Narrow"/>
          <w:sz w:val="20"/>
          <w:szCs w:val="20"/>
          <w:lang w:val="en-US"/>
        </w:rPr>
        <w:t>considering</w:t>
      </w:r>
      <w:r w:rsidRPr="00483C58">
        <w:rPr>
          <w:rFonts w:ascii="Arial Narrow" w:hAnsi="Arial Narrow"/>
          <w:sz w:val="20"/>
          <w:szCs w:val="20"/>
          <w:lang w:val="en-US"/>
        </w:rPr>
        <w:t xml:space="preserve"> the professional nature of its business, in a loyal manner and respecting the legitimate interests of the other Party.</w:t>
      </w:r>
    </w:p>
    <w:p w14:paraId="4893565F" w14:textId="45578EA2" w:rsidR="00483C58" w:rsidRDefault="00483C58" w:rsidP="00483C58">
      <w:pPr>
        <w:pStyle w:val="Akapitzlist"/>
        <w:numPr>
          <w:ilvl w:val="0"/>
          <w:numId w:val="7"/>
        </w:numPr>
        <w:spacing w:after="120" w:line="240" w:lineRule="auto"/>
        <w:ind w:left="284" w:hanging="284"/>
        <w:contextualSpacing w:val="0"/>
        <w:jc w:val="both"/>
        <w:rPr>
          <w:rFonts w:ascii="Arial Narrow" w:hAnsi="Arial Narrow"/>
          <w:sz w:val="20"/>
          <w:szCs w:val="20"/>
          <w:lang w:val="en-US"/>
        </w:rPr>
      </w:pPr>
      <w:r>
        <w:rPr>
          <w:rFonts w:ascii="Arial Narrow" w:hAnsi="Arial Narrow"/>
          <w:sz w:val="20"/>
          <w:szCs w:val="20"/>
          <w:lang w:val="en-US"/>
        </w:rPr>
        <w:t>P</w:t>
      </w:r>
      <w:r w:rsidRPr="00483C58">
        <w:rPr>
          <w:rFonts w:ascii="Arial Narrow" w:hAnsi="Arial Narrow"/>
          <w:sz w:val="20"/>
          <w:szCs w:val="20"/>
          <w:lang w:val="en-US"/>
        </w:rPr>
        <w:t>arties undertake to provide each other with all information necessary for the execution of the Agreement</w:t>
      </w:r>
      <w:r>
        <w:rPr>
          <w:rFonts w:ascii="Arial Narrow" w:hAnsi="Arial Narrow"/>
          <w:sz w:val="20"/>
          <w:szCs w:val="20"/>
          <w:lang w:val="en-US"/>
        </w:rPr>
        <w:t>.</w:t>
      </w:r>
    </w:p>
    <w:p w14:paraId="30984D68" w14:textId="20FB9D90" w:rsidR="00483C58" w:rsidRDefault="00483C58" w:rsidP="00483C58">
      <w:pPr>
        <w:pStyle w:val="Akapitzlist"/>
        <w:numPr>
          <w:ilvl w:val="0"/>
          <w:numId w:val="7"/>
        </w:numPr>
        <w:spacing w:after="120" w:line="240" w:lineRule="auto"/>
        <w:ind w:left="284" w:hanging="284"/>
        <w:contextualSpacing w:val="0"/>
        <w:jc w:val="both"/>
        <w:rPr>
          <w:rFonts w:ascii="Arial Narrow" w:hAnsi="Arial Narrow"/>
          <w:sz w:val="20"/>
          <w:szCs w:val="20"/>
          <w:lang w:val="en-US"/>
        </w:rPr>
      </w:pPr>
      <w:r>
        <w:rPr>
          <w:rFonts w:ascii="Arial Narrow" w:hAnsi="Arial Narrow"/>
          <w:sz w:val="20"/>
          <w:szCs w:val="20"/>
          <w:lang w:val="en-US"/>
        </w:rPr>
        <w:t>P</w:t>
      </w:r>
      <w:r w:rsidRPr="00483C58">
        <w:rPr>
          <w:rFonts w:ascii="Arial Narrow" w:hAnsi="Arial Narrow"/>
          <w:sz w:val="20"/>
          <w:szCs w:val="20"/>
          <w:lang w:val="en-US"/>
        </w:rPr>
        <w:t>arties declare that there are no other factual or legal circumstances that would prevent the execution of the Agreement</w:t>
      </w:r>
      <w:r>
        <w:rPr>
          <w:rFonts w:ascii="Arial Narrow" w:hAnsi="Arial Narrow"/>
          <w:sz w:val="20"/>
          <w:szCs w:val="20"/>
          <w:lang w:val="en-US"/>
        </w:rPr>
        <w:t>.</w:t>
      </w:r>
    </w:p>
    <w:p w14:paraId="7F88B208" w14:textId="6FD86252" w:rsidR="00483C58" w:rsidRDefault="00483C58" w:rsidP="00483C58">
      <w:pPr>
        <w:pStyle w:val="Akapitzlist"/>
        <w:numPr>
          <w:ilvl w:val="0"/>
          <w:numId w:val="7"/>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The Parties shall bear full responsibility for the truthfulness of their statements. </w:t>
      </w:r>
      <w:r>
        <w:rPr>
          <w:rFonts w:ascii="Arial Narrow" w:hAnsi="Arial Narrow"/>
          <w:sz w:val="20"/>
          <w:szCs w:val="20"/>
          <w:lang w:val="en-US"/>
        </w:rPr>
        <w:t>In case</w:t>
      </w:r>
      <w:r w:rsidRPr="00483C58">
        <w:rPr>
          <w:rFonts w:ascii="Arial Narrow" w:hAnsi="Arial Narrow"/>
          <w:sz w:val="20"/>
          <w:szCs w:val="20"/>
          <w:lang w:val="en-US"/>
        </w:rPr>
        <w:t xml:space="preserve"> the claims of Third Parties, the Party that has made a false statement undertakes to assume full responsibility and pay for any damages incurred by the other Party as a result thereof</w:t>
      </w:r>
      <w:r>
        <w:rPr>
          <w:rFonts w:ascii="Arial Narrow" w:hAnsi="Arial Narrow"/>
          <w:sz w:val="20"/>
          <w:szCs w:val="20"/>
          <w:lang w:val="en-US"/>
        </w:rPr>
        <w:t>.</w:t>
      </w:r>
    </w:p>
    <w:p w14:paraId="6BD4379C" w14:textId="0A8E7765" w:rsidR="00483C58" w:rsidRDefault="00483C58" w:rsidP="00483C58">
      <w:pPr>
        <w:spacing w:after="120" w:line="240" w:lineRule="auto"/>
        <w:jc w:val="center"/>
        <w:rPr>
          <w:rFonts w:ascii="Arial Narrow" w:hAnsi="Arial Narrow"/>
          <w:b/>
          <w:bCs/>
          <w:sz w:val="20"/>
          <w:szCs w:val="20"/>
          <w:lang w:val="en-US"/>
        </w:rPr>
      </w:pPr>
      <w:r w:rsidRPr="00483C58">
        <w:rPr>
          <w:rFonts w:ascii="Arial Narrow" w:hAnsi="Arial Narrow"/>
          <w:b/>
          <w:bCs/>
          <w:sz w:val="20"/>
          <w:szCs w:val="20"/>
          <w:lang w:val="en-US"/>
        </w:rPr>
        <w:t>§ 4</w:t>
      </w:r>
    </w:p>
    <w:p w14:paraId="168706D4" w14:textId="4F76EF0D" w:rsidR="00483C58" w:rsidRDefault="00483C58" w:rsidP="00483C58">
      <w:pPr>
        <w:spacing w:after="120" w:line="240" w:lineRule="auto"/>
        <w:jc w:val="center"/>
        <w:rPr>
          <w:rFonts w:ascii="Arial Narrow" w:hAnsi="Arial Narrow"/>
          <w:b/>
          <w:bCs/>
          <w:sz w:val="20"/>
          <w:szCs w:val="20"/>
          <w:lang w:val="en-US"/>
        </w:rPr>
      </w:pPr>
      <w:r>
        <w:rPr>
          <w:rFonts w:ascii="Arial Narrow" w:hAnsi="Arial Narrow"/>
          <w:b/>
          <w:bCs/>
          <w:sz w:val="20"/>
          <w:szCs w:val="20"/>
          <w:lang w:val="en-US"/>
        </w:rPr>
        <w:t>Communication and delivery between Parties</w:t>
      </w:r>
    </w:p>
    <w:p w14:paraId="20BDA5B5" w14:textId="547FF9D6" w:rsidR="00483C58" w:rsidRDefault="00483C58" w:rsidP="00483C58">
      <w:pPr>
        <w:pStyle w:val="Akapitzlist"/>
        <w:numPr>
          <w:ilvl w:val="0"/>
          <w:numId w:val="8"/>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Communications between the Parties in connection with the performance of the Agreement shall be made through the Persons designated to do so, as indicated in the</w:t>
      </w:r>
      <w:r>
        <w:rPr>
          <w:rFonts w:ascii="Arial Narrow" w:hAnsi="Arial Narrow"/>
          <w:sz w:val="20"/>
          <w:szCs w:val="20"/>
          <w:lang w:val="en-US"/>
        </w:rPr>
        <w:t xml:space="preserve"> Form</w:t>
      </w:r>
      <w:r w:rsidRPr="00483C58">
        <w:rPr>
          <w:rFonts w:ascii="Arial Narrow" w:hAnsi="Arial Narrow"/>
          <w:sz w:val="20"/>
          <w:szCs w:val="20"/>
          <w:lang w:val="en-US"/>
        </w:rPr>
        <w:t>.</w:t>
      </w:r>
    </w:p>
    <w:p w14:paraId="4CA058A3" w14:textId="3DDDB6E5" w:rsidR="00483C58" w:rsidRDefault="00483C58" w:rsidP="00483C58">
      <w:pPr>
        <w:pStyle w:val="Akapitzlist"/>
        <w:numPr>
          <w:ilvl w:val="0"/>
          <w:numId w:val="8"/>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All notices and statements related to the execution of the Agreement shall be sent to the contact details specified in the </w:t>
      </w:r>
      <w:r w:rsidRPr="00483C58">
        <w:rPr>
          <w:rFonts w:ascii="Arial Narrow" w:hAnsi="Arial Narrow"/>
          <w:sz w:val="20"/>
          <w:szCs w:val="20"/>
          <w:lang w:val="en-US"/>
        </w:rPr>
        <w:t>F</w:t>
      </w:r>
      <w:r>
        <w:rPr>
          <w:rFonts w:ascii="Arial Narrow" w:hAnsi="Arial Narrow"/>
          <w:sz w:val="20"/>
          <w:szCs w:val="20"/>
          <w:lang w:val="en-US"/>
        </w:rPr>
        <w:t>orm</w:t>
      </w:r>
      <w:r w:rsidRPr="00483C58">
        <w:rPr>
          <w:rFonts w:ascii="Arial Narrow" w:hAnsi="Arial Narrow"/>
          <w:sz w:val="20"/>
          <w:szCs w:val="20"/>
          <w:lang w:val="en-US"/>
        </w:rPr>
        <w:t>. A change in the personal or delivery address data shall not constitute an amendment to the Agreement and shall be made in the form of a written notice by the Party affected by the change.</w:t>
      </w:r>
    </w:p>
    <w:p w14:paraId="7DBE3997" w14:textId="1481E7A6" w:rsidR="00483C58" w:rsidRDefault="00483C58" w:rsidP="00483C58">
      <w:pPr>
        <w:pStyle w:val="Akapitzlist"/>
        <w:numPr>
          <w:ilvl w:val="0"/>
          <w:numId w:val="8"/>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The Parties undertake to inform each other immediately of any changes in the Collaborative's Managerial Person, registered office, </w:t>
      </w:r>
      <w:r w:rsidRPr="00483C58">
        <w:rPr>
          <w:rFonts w:ascii="Arial Narrow" w:hAnsi="Arial Narrow"/>
          <w:sz w:val="20"/>
          <w:szCs w:val="20"/>
          <w:lang w:val="en-US"/>
        </w:rPr>
        <w:t>address,</w:t>
      </w:r>
      <w:r w:rsidRPr="00483C58">
        <w:rPr>
          <w:rFonts w:ascii="Arial Narrow" w:hAnsi="Arial Narrow"/>
          <w:sz w:val="20"/>
          <w:szCs w:val="20"/>
          <w:lang w:val="en-US"/>
        </w:rPr>
        <w:t xml:space="preserve"> or other contact information. The change notified by the Party that is the sender shall be effective with respect to the Party that is the recipient of the notice from the moment the Party that is the recipient of the notice confirms that it has read the notice.</w:t>
      </w:r>
    </w:p>
    <w:p w14:paraId="54898819" w14:textId="3C664AC7" w:rsidR="00483C58" w:rsidRDefault="00483C58" w:rsidP="00483C58">
      <w:pPr>
        <w:pStyle w:val="Akapitzlist"/>
        <w:numPr>
          <w:ilvl w:val="0"/>
          <w:numId w:val="8"/>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In </w:t>
      </w:r>
      <w:r>
        <w:rPr>
          <w:rFonts w:ascii="Arial Narrow" w:hAnsi="Arial Narrow"/>
          <w:sz w:val="20"/>
          <w:szCs w:val="20"/>
          <w:lang w:val="en-US"/>
        </w:rPr>
        <w:t>case</w:t>
      </w:r>
      <w:r w:rsidRPr="00483C58">
        <w:rPr>
          <w:rFonts w:ascii="Arial Narrow" w:hAnsi="Arial Narrow"/>
          <w:sz w:val="20"/>
          <w:szCs w:val="20"/>
          <w:lang w:val="en-US"/>
        </w:rPr>
        <w:t xml:space="preserve"> of failure to comply with the obligation referred to in </w:t>
      </w:r>
      <w:r>
        <w:rPr>
          <w:rFonts w:ascii="Arial Narrow" w:hAnsi="Arial Narrow"/>
          <w:sz w:val="20"/>
          <w:szCs w:val="20"/>
          <w:lang w:val="en-US"/>
        </w:rPr>
        <w:t>sect.</w:t>
      </w:r>
      <w:r w:rsidRPr="00483C58">
        <w:rPr>
          <w:rFonts w:ascii="Arial Narrow" w:hAnsi="Arial Narrow"/>
          <w:sz w:val="20"/>
          <w:szCs w:val="20"/>
          <w:lang w:val="en-US"/>
        </w:rPr>
        <w:t xml:space="preserve"> 3 (above), all statements and notices made to the last delivery address provided shall be deemed effectively delivered. Delivery will also be considered effective in the </w:t>
      </w:r>
      <w:r>
        <w:rPr>
          <w:rFonts w:ascii="Arial Narrow" w:hAnsi="Arial Narrow"/>
          <w:sz w:val="20"/>
          <w:szCs w:val="20"/>
          <w:lang w:val="en-US"/>
        </w:rPr>
        <w:t>case of</w:t>
      </w:r>
      <w:r w:rsidRPr="00483C58">
        <w:rPr>
          <w:rFonts w:ascii="Arial Narrow" w:hAnsi="Arial Narrow"/>
          <w:sz w:val="20"/>
          <w:szCs w:val="20"/>
          <w:lang w:val="en-US"/>
        </w:rPr>
        <w:t xml:space="preserve"> refusal of receipt by the Party to whom the correspondence is addressed, failure to pick up the correspondence at the post office, despite the post office's advice of delivery, and refusal to acknowledge reading of the notice.</w:t>
      </w:r>
    </w:p>
    <w:p w14:paraId="3B4F8DE8" w14:textId="3C664AC7" w:rsidR="00483C58" w:rsidRDefault="00483C58" w:rsidP="00483C58">
      <w:pPr>
        <w:spacing w:after="120" w:line="240" w:lineRule="auto"/>
        <w:jc w:val="center"/>
        <w:rPr>
          <w:rFonts w:ascii="Arial Narrow" w:hAnsi="Arial Narrow"/>
          <w:b/>
          <w:bCs/>
          <w:sz w:val="20"/>
          <w:szCs w:val="20"/>
          <w:lang w:val="en-US"/>
        </w:rPr>
      </w:pPr>
      <w:r w:rsidRPr="00483C58">
        <w:rPr>
          <w:rFonts w:ascii="Arial Narrow" w:hAnsi="Arial Narrow"/>
          <w:b/>
          <w:bCs/>
          <w:sz w:val="20"/>
          <w:szCs w:val="20"/>
          <w:lang w:val="en-US"/>
        </w:rPr>
        <w:t>§ 5</w:t>
      </w:r>
    </w:p>
    <w:p w14:paraId="0018F41F" w14:textId="78DC5249" w:rsidR="00483C58" w:rsidRDefault="00483C58" w:rsidP="00483C58">
      <w:pPr>
        <w:spacing w:after="120" w:line="240" w:lineRule="auto"/>
        <w:jc w:val="center"/>
        <w:rPr>
          <w:rFonts w:ascii="Arial Narrow" w:hAnsi="Arial Narrow"/>
          <w:b/>
          <w:bCs/>
          <w:sz w:val="20"/>
          <w:szCs w:val="20"/>
          <w:lang w:val="en-US"/>
        </w:rPr>
      </w:pPr>
      <w:r>
        <w:rPr>
          <w:rFonts w:ascii="Arial Narrow" w:hAnsi="Arial Narrow"/>
          <w:b/>
          <w:bCs/>
          <w:sz w:val="20"/>
          <w:szCs w:val="20"/>
          <w:lang w:val="en-US"/>
        </w:rPr>
        <w:t>Process of ordering</w:t>
      </w:r>
    </w:p>
    <w:p w14:paraId="10D1532F" w14:textId="0A5D520E" w:rsidR="00483C58" w:rsidRDefault="00483C58" w:rsidP="00483C58">
      <w:pPr>
        <w:pStyle w:val="Akapitzlist"/>
        <w:numPr>
          <w:ilvl w:val="0"/>
          <w:numId w:val="9"/>
        </w:numPr>
        <w:spacing w:after="120" w:line="240" w:lineRule="auto"/>
        <w:ind w:left="284" w:hanging="284"/>
        <w:contextualSpacing w:val="0"/>
        <w:jc w:val="both"/>
        <w:rPr>
          <w:rFonts w:ascii="Arial Narrow" w:hAnsi="Arial Narrow"/>
          <w:sz w:val="20"/>
          <w:szCs w:val="20"/>
          <w:lang w:val="en-US"/>
        </w:rPr>
      </w:pPr>
      <w:r>
        <w:rPr>
          <w:rFonts w:ascii="Arial Narrow" w:hAnsi="Arial Narrow"/>
          <w:sz w:val="20"/>
          <w:szCs w:val="20"/>
          <w:lang w:val="en-US"/>
        </w:rPr>
        <w:lastRenderedPageBreak/>
        <w:t>Client</w:t>
      </w:r>
      <w:r w:rsidRPr="00483C58">
        <w:rPr>
          <w:rFonts w:ascii="Arial Narrow" w:hAnsi="Arial Narrow"/>
          <w:sz w:val="20"/>
          <w:szCs w:val="20"/>
          <w:lang w:val="en-US"/>
        </w:rPr>
        <w:t xml:space="preserve"> shall order and GFB shall deliver the Product based on the Form previously submitted by the Ordering Party and accepted by GFB under the terms and conditions described below.</w:t>
      </w:r>
    </w:p>
    <w:p w14:paraId="39219AE9" w14:textId="0A0E5F26" w:rsidR="00483C58" w:rsidRDefault="00483C58" w:rsidP="00483C58">
      <w:pPr>
        <w:pStyle w:val="Akapitzlist"/>
        <w:numPr>
          <w:ilvl w:val="0"/>
          <w:numId w:val="9"/>
        </w:numPr>
        <w:spacing w:after="120" w:line="240" w:lineRule="auto"/>
        <w:ind w:left="284" w:hanging="284"/>
        <w:contextualSpacing w:val="0"/>
        <w:jc w:val="both"/>
        <w:rPr>
          <w:rFonts w:ascii="Arial Narrow" w:hAnsi="Arial Narrow"/>
          <w:sz w:val="20"/>
          <w:szCs w:val="20"/>
          <w:lang w:val="en-US"/>
        </w:rPr>
      </w:pPr>
      <w:r>
        <w:rPr>
          <w:rFonts w:ascii="Arial Narrow" w:hAnsi="Arial Narrow"/>
          <w:sz w:val="20"/>
          <w:szCs w:val="20"/>
          <w:lang w:val="en-US"/>
        </w:rPr>
        <w:t>Client</w:t>
      </w:r>
      <w:r w:rsidRPr="00483C58">
        <w:rPr>
          <w:rFonts w:ascii="Arial Narrow" w:hAnsi="Arial Narrow"/>
          <w:sz w:val="20"/>
          <w:szCs w:val="20"/>
          <w:lang w:val="en-US"/>
        </w:rPr>
        <w:t xml:space="preserve"> </w:t>
      </w:r>
      <w:r>
        <w:rPr>
          <w:rFonts w:ascii="Arial Narrow" w:hAnsi="Arial Narrow"/>
          <w:sz w:val="20"/>
          <w:szCs w:val="20"/>
          <w:lang w:val="en-US"/>
        </w:rPr>
        <w:t>agrees</w:t>
      </w:r>
      <w:r w:rsidRPr="00483C58">
        <w:rPr>
          <w:rFonts w:ascii="Arial Narrow" w:hAnsi="Arial Narrow"/>
          <w:sz w:val="20"/>
          <w:szCs w:val="20"/>
          <w:lang w:val="en-US"/>
        </w:rPr>
        <w:t xml:space="preserve"> to take delivery of the ordered Product and pay the price according to the VAT invoice provided by GFB within the time limit specified in § 8 </w:t>
      </w:r>
      <w:r>
        <w:rPr>
          <w:rFonts w:ascii="Arial Narrow" w:hAnsi="Arial Narrow"/>
          <w:sz w:val="20"/>
          <w:szCs w:val="20"/>
          <w:lang w:val="en-US"/>
        </w:rPr>
        <w:t>sect. 1</w:t>
      </w:r>
      <w:r w:rsidRPr="00483C58">
        <w:rPr>
          <w:rFonts w:ascii="Arial Narrow" w:hAnsi="Arial Narrow"/>
          <w:sz w:val="20"/>
          <w:szCs w:val="20"/>
          <w:lang w:val="en-US"/>
        </w:rPr>
        <w:t>.</w:t>
      </w:r>
    </w:p>
    <w:p w14:paraId="16674DEB" w14:textId="5B40C8CB" w:rsidR="00483C58" w:rsidRDefault="00483C58" w:rsidP="00483C58">
      <w:pPr>
        <w:pStyle w:val="Akapitzlist"/>
        <w:numPr>
          <w:ilvl w:val="0"/>
          <w:numId w:val="9"/>
        </w:numPr>
        <w:spacing w:after="120" w:line="240" w:lineRule="auto"/>
        <w:ind w:left="284" w:hanging="284"/>
        <w:contextualSpacing w:val="0"/>
        <w:jc w:val="both"/>
        <w:rPr>
          <w:rFonts w:ascii="Arial Narrow" w:hAnsi="Arial Narrow"/>
          <w:sz w:val="20"/>
          <w:szCs w:val="20"/>
          <w:lang w:val="en-US"/>
        </w:rPr>
      </w:pPr>
      <w:r>
        <w:rPr>
          <w:rFonts w:ascii="Arial Narrow" w:hAnsi="Arial Narrow"/>
          <w:sz w:val="20"/>
          <w:szCs w:val="20"/>
          <w:lang w:val="en-US"/>
        </w:rPr>
        <w:t>F</w:t>
      </w:r>
      <w:r w:rsidRPr="00483C58">
        <w:rPr>
          <w:rFonts w:ascii="Arial Narrow" w:hAnsi="Arial Narrow"/>
          <w:sz w:val="20"/>
          <w:szCs w:val="20"/>
          <w:lang w:val="en-US"/>
        </w:rPr>
        <w:t xml:space="preserve">orm specifies the type of product, its </w:t>
      </w:r>
      <w:r w:rsidRPr="00483C58">
        <w:rPr>
          <w:rFonts w:ascii="Arial Narrow" w:hAnsi="Arial Narrow"/>
          <w:sz w:val="20"/>
          <w:szCs w:val="20"/>
          <w:lang w:val="en-US"/>
        </w:rPr>
        <w:t>quantity,</w:t>
      </w:r>
      <w:r w:rsidRPr="00483C58">
        <w:rPr>
          <w:rFonts w:ascii="Arial Narrow" w:hAnsi="Arial Narrow"/>
          <w:sz w:val="20"/>
          <w:szCs w:val="20"/>
          <w:lang w:val="en-US"/>
        </w:rPr>
        <w:t xml:space="preserve"> and the expected delivery date</w:t>
      </w:r>
      <w:r>
        <w:rPr>
          <w:rFonts w:ascii="Arial Narrow" w:hAnsi="Arial Narrow"/>
          <w:sz w:val="20"/>
          <w:szCs w:val="20"/>
          <w:lang w:val="en-US"/>
        </w:rPr>
        <w:t>.</w:t>
      </w:r>
    </w:p>
    <w:p w14:paraId="1E585A15" w14:textId="3CFB46E2" w:rsidR="00483C58" w:rsidRDefault="00483C58" w:rsidP="00483C58">
      <w:pPr>
        <w:pStyle w:val="Akapitzlist"/>
        <w:numPr>
          <w:ilvl w:val="0"/>
          <w:numId w:val="9"/>
        </w:numPr>
        <w:spacing w:after="120" w:line="240" w:lineRule="auto"/>
        <w:ind w:left="284" w:hanging="284"/>
        <w:contextualSpacing w:val="0"/>
        <w:jc w:val="both"/>
        <w:rPr>
          <w:rFonts w:ascii="Arial Narrow" w:hAnsi="Arial Narrow"/>
          <w:sz w:val="20"/>
          <w:szCs w:val="20"/>
          <w:lang w:val="en-US"/>
        </w:rPr>
      </w:pPr>
      <w:r>
        <w:rPr>
          <w:rFonts w:ascii="Arial Narrow" w:hAnsi="Arial Narrow"/>
          <w:sz w:val="20"/>
          <w:szCs w:val="20"/>
          <w:lang w:val="en-US"/>
        </w:rPr>
        <w:t>Client</w:t>
      </w:r>
      <w:r w:rsidRPr="00483C58">
        <w:rPr>
          <w:rFonts w:ascii="Arial Narrow" w:hAnsi="Arial Narrow"/>
          <w:sz w:val="20"/>
          <w:szCs w:val="20"/>
          <w:lang w:val="en-US"/>
        </w:rPr>
        <w:t xml:space="preserve"> completes the Form available at https://gfbdairy.eu and submits it to the GFB electronically or by snail mail.</w:t>
      </w:r>
    </w:p>
    <w:p w14:paraId="0EDB1011" w14:textId="26456082" w:rsidR="00483C58" w:rsidRDefault="00483C58" w:rsidP="00483C58">
      <w:pPr>
        <w:pStyle w:val="Akapitzlist"/>
        <w:numPr>
          <w:ilvl w:val="0"/>
          <w:numId w:val="9"/>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After reviewing the Form, the GFB accepts the </w:t>
      </w:r>
      <w:r>
        <w:rPr>
          <w:rFonts w:ascii="Arial Narrow" w:hAnsi="Arial Narrow"/>
          <w:sz w:val="20"/>
          <w:szCs w:val="20"/>
          <w:lang w:val="en-US"/>
        </w:rPr>
        <w:t>Client</w:t>
      </w:r>
      <w:r w:rsidRPr="00483C58">
        <w:rPr>
          <w:rFonts w:ascii="Arial Narrow" w:hAnsi="Arial Narrow"/>
          <w:sz w:val="20"/>
          <w:szCs w:val="20"/>
          <w:lang w:val="en-US"/>
        </w:rPr>
        <w:t>'s offer, rejects it, or proposes changes within 3 working days of receiving the Form.</w:t>
      </w:r>
    </w:p>
    <w:p w14:paraId="4E94287A" w14:textId="57839832" w:rsidR="00483C58" w:rsidRDefault="00483C58" w:rsidP="00483C58">
      <w:pPr>
        <w:pStyle w:val="Akapitzlist"/>
        <w:numPr>
          <w:ilvl w:val="0"/>
          <w:numId w:val="9"/>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If changes are proposed by the GFB, </w:t>
      </w:r>
      <w:r>
        <w:rPr>
          <w:rFonts w:ascii="Arial Narrow" w:hAnsi="Arial Narrow"/>
          <w:sz w:val="20"/>
          <w:szCs w:val="20"/>
          <w:lang w:val="en-US"/>
        </w:rPr>
        <w:t>Client</w:t>
      </w:r>
      <w:r w:rsidRPr="00483C58">
        <w:rPr>
          <w:rFonts w:ascii="Arial Narrow" w:hAnsi="Arial Narrow"/>
          <w:sz w:val="20"/>
          <w:szCs w:val="20"/>
          <w:lang w:val="en-US"/>
        </w:rPr>
        <w:t xml:space="preserve"> may accept or reject the proposed changes within the next 3 working days from the date of receipt.</w:t>
      </w:r>
    </w:p>
    <w:p w14:paraId="6E729698" w14:textId="3750FB96" w:rsidR="00483C58" w:rsidRDefault="00483C58" w:rsidP="00483C58">
      <w:pPr>
        <w:pStyle w:val="Akapitzlist"/>
        <w:numPr>
          <w:ilvl w:val="0"/>
          <w:numId w:val="9"/>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Actions described in </w:t>
      </w:r>
      <w:r>
        <w:rPr>
          <w:rFonts w:ascii="Arial Narrow" w:hAnsi="Arial Narrow"/>
          <w:sz w:val="20"/>
          <w:szCs w:val="20"/>
          <w:lang w:val="en-US"/>
        </w:rPr>
        <w:t>sect.</w:t>
      </w:r>
      <w:r w:rsidRPr="00483C58">
        <w:rPr>
          <w:rFonts w:ascii="Arial Narrow" w:hAnsi="Arial Narrow"/>
          <w:sz w:val="20"/>
          <w:szCs w:val="20"/>
          <w:lang w:val="en-US"/>
        </w:rPr>
        <w:t xml:space="preserve"> 3-6 (above) will be </w:t>
      </w:r>
      <w:r>
        <w:rPr>
          <w:rFonts w:ascii="Arial Narrow" w:hAnsi="Arial Narrow"/>
          <w:sz w:val="20"/>
          <w:szCs w:val="20"/>
          <w:lang w:val="en-US"/>
        </w:rPr>
        <w:t>done</w:t>
      </w:r>
      <w:r w:rsidRPr="00483C58">
        <w:rPr>
          <w:rFonts w:ascii="Arial Narrow" w:hAnsi="Arial Narrow"/>
          <w:sz w:val="20"/>
          <w:szCs w:val="20"/>
          <w:lang w:val="en-US"/>
        </w:rPr>
        <w:t xml:space="preserve"> by e-mail, fax or in writing, by regular mail. The parties will consider as equivalent a document signed with a handwritten signature (in the original, in a scan or sent by fax), as well as signed with an electronic qualified or trusted signature, in accordance with the </w:t>
      </w:r>
      <w:proofErr w:type="spellStart"/>
      <w:r w:rsidRPr="00483C58">
        <w:rPr>
          <w:rFonts w:ascii="Arial Narrow" w:hAnsi="Arial Narrow"/>
          <w:sz w:val="20"/>
          <w:szCs w:val="20"/>
          <w:lang w:val="en-US"/>
        </w:rPr>
        <w:t>eIDAS</w:t>
      </w:r>
      <w:proofErr w:type="spellEnd"/>
      <w:r w:rsidRPr="00483C58">
        <w:rPr>
          <w:rFonts w:ascii="Arial Narrow" w:hAnsi="Arial Narrow"/>
          <w:sz w:val="20"/>
          <w:szCs w:val="20"/>
          <w:lang w:val="en-US"/>
        </w:rPr>
        <w:t xml:space="preserve"> regulation</w:t>
      </w:r>
      <w:r>
        <w:rPr>
          <w:rFonts w:ascii="Arial Narrow" w:hAnsi="Arial Narrow"/>
          <w:sz w:val="20"/>
          <w:szCs w:val="20"/>
          <w:lang w:val="en-US"/>
        </w:rPr>
        <w:t>.</w:t>
      </w:r>
    </w:p>
    <w:p w14:paraId="38D07146" w14:textId="252ED703" w:rsidR="00483C58" w:rsidRDefault="00483C58" w:rsidP="00483C58">
      <w:pPr>
        <w:pStyle w:val="Akapitzlist"/>
        <w:numPr>
          <w:ilvl w:val="0"/>
          <w:numId w:val="9"/>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Exceeding the deadlines set forth in </w:t>
      </w:r>
      <w:r>
        <w:rPr>
          <w:rFonts w:ascii="Arial Narrow" w:hAnsi="Arial Narrow"/>
          <w:sz w:val="20"/>
          <w:szCs w:val="20"/>
          <w:lang w:val="en-US"/>
        </w:rPr>
        <w:t>sect.</w:t>
      </w:r>
      <w:r w:rsidRPr="00483C58">
        <w:rPr>
          <w:rFonts w:ascii="Arial Narrow" w:hAnsi="Arial Narrow"/>
          <w:sz w:val="20"/>
          <w:szCs w:val="20"/>
          <w:lang w:val="en-US"/>
        </w:rPr>
        <w:t xml:space="preserve"> 3 and 4 (above) shall be deemed acceptance of the terms and conditions set forth in the Form.</w:t>
      </w:r>
    </w:p>
    <w:p w14:paraId="10FB5FEA" w14:textId="6F3D8804" w:rsidR="00483C58" w:rsidRDefault="00483C58" w:rsidP="00483C58">
      <w:pPr>
        <w:spacing w:after="120" w:line="240" w:lineRule="auto"/>
        <w:jc w:val="center"/>
        <w:rPr>
          <w:rFonts w:ascii="Arial Narrow" w:hAnsi="Arial Narrow"/>
          <w:b/>
          <w:bCs/>
          <w:sz w:val="20"/>
          <w:szCs w:val="20"/>
          <w:lang w:val="en-US"/>
        </w:rPr>
      </w:pPr>
      <w:r w:rsidRPr="00483C58">
        <w:rPr>
          <w:rFonts w:ascii="Arial Narrow" w:hAnsi="Arial Narrow"/>
          <w:b/>
          <w:bCs/>
          <w:sz w:val="20"/>
          <w:szCs w:val="20"/>
          <w:lang w:val="en-US"/>
        </w:rPr>
        <w:t xml:space="preserve">§ </w:t>
      </w:r>
      <w:r>
        <w:rPr>
          <w:rFonts w:ascii="Arial Narrow" w:hAnsi="Arial Narrow"/>
          <w:b/>
          <w:bCs/>
          <w:sz w:val="20"/>
          <w:szCs w:val="20"/>
          <w:lang w:val="en-US"/>
        </w:rPr>
        <w:t>6</w:t>
      </w:r>
    </w:p>
    <w:p w14:paraId="269806C1" w14:textId="242E4642" w:rsidR="00483C58" w:rsidRDefault="00483C58" w:rsidP="00483C58">
      <w:pPr>
        <w:spacing w:after="120" w:line="240" w:lineRule="auto"/>
        <w:jc w:val="center"/>
        <w:rPr>
          <w:rFonts w:ascii="Arial Narrow" w:hAnsi="Arial Narrow"/>
          <w:b/>
          <w:bCs/>
          <w:sz w:val="20"/>
          <w:szCs w:val="20"/>
          <w:lang w:val="en-US"/>
        </w:rPr>
      </w:pPr>
      <w:r>
        <w:rPr>
          <w:rFonts w:ascii="Arial Narrow" w:hAnsi="Arial Narrow"/>
          <w:b/>
          <w:bCs/>
          <w:sz w:val="20"/>
          <w:szCs w:val="20"/>
          <w:lang w:val="en-US"/>
        </w:rPr>
        <w:t>Supply</w:t>
      </w:r>
    </w:p>
    <w:p w14:paraId="66272DCA" w14:textId="5F63E7E4" w:rsidR="00483C58" w:rsidRDefault="00483C58" w:rsidP="00483C58">
      <w:pPr>
        <w:pStyle w:val="Akapitzlist"/>
        <w:numPr>
          <w:ilvl w:val="0"/>
          <w:numId w:val="10"/>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Delivery of the Product shall be made according to the Incoterms 2020 delivery formula (base) agreed upon by the Parties. If nothing else is agreed upon by the Parties, the EXW Incoterms 2020 delivery formula (base) shall apply</w:t>
      </w:r>
      <w:r>
        <w:rPr>
          <w:rFonts w:ascii="Arial Narrow" w:hAnsi="Arial Narrow"/>
          <w:sz w:val="20"/>
          <w:szCs w:val="20"/>
          <w:lang w:val="en-US"/>
        </w:rPr>
        <w:t>.</w:t>
      </w:r>
    </w:p>
    <w:p w14:paraId="50CBFABC" w14:textId="19EE5C26" w:rsidR="00483C58" w:rsidRDefault="00483C58" w:rsidP="00483C58">
      <w:pPr>
        <w:pStyle w:val="Akapitzlist"/>
        <w:numPr>
          <w:ilvl w:val="0"/>
          <w:numId w:val="10"/>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In justified cases, GFB has the right to change the date or volume of delivery of Products, after giving the </w:t>
      </w:r>
      <w:r>
        <w:rPr>
          <w:rFonts w:ascii="Arial Narrow" w:hAnsi="Arial Narrow"/>
          <w:sz w:val="20"/>
          <w:szCs w:val="20"/>
          <w:lang w:val="en-US"/>
        </w:rPr>
        <w:t>Client</w:t>
      </w:r>
      <w:r w:rsidRPr="00483C58">
        <w:rPr>
          <w:rFonts w:ascii="Arial Narrow" w:hAnsi="Arial Narrow"/>
          <w:sz w:val="20"/>
          <w:szCs w:val="20"/>
          <w:lang w:val="en-US"/>
        </w:rPr>
        <w:t xml:space="preserve"> at least one week's notice.</w:t>
      </w:r>
    </w:p>
    <w:p w14:paraId="5892B829" w14:textId="16C3EEFF" w:rsidR="00483C58" w:rsidRDefault="00483C58" w:rsidP="00483C58">
      <w:pPr>
        <w:pStyle w:val="Akapitzlist"/>
        <w:numPr>
          <w:ilvl w:val="0"/>
          <w:numId w:val="10"/>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One week's notice in th</w:t>
      </w:r>
      <w:r>
        <w:rPr>
          <w:rFonts w:ascii="Arial Narrow" w:hAnsi="Arial Narrow"/>
          <w:sz w:val="20"/>
          <w:szCs w:val="20"/>
          <w:lang w:val="en-US"/>
        </w:rPr>
        <w:t>e case</w:t>
      </w:r>
      <w:r w:rsidRPr="00483C58">
        <w:rPr>
          <w:rFonts w:ascii="Arial Narrow" w:hAnsi="Arial Narrow"/>
          <w:sz w:val="20"/>
          <w:szCs w:val="20"/>
          <w:lang w:val="en-US"/>
        </w:rPr>
        <w:t xml:space="preserve"> of a change in the delivery date </w:t>
      </w:r>
      <w:r>
        <w:rPr>
          <w:rFonts w:ascii="Arial Narrow" w:hAnsi="Arial Narrow"/>
          <w:sz w:val="20"/>
          <w:szCs w:val="20"/>
          <w:lang w:val="en-US"/>
        </w:rPr>
        <w:t>mentioned</w:t>
      </w:r>
      <w:r w:rsidRPr="00483C58">
        <w:rPr>
          <w:rFonts w:ascii="Arial Narrow" w:hAnsi="Arial Narrow"/>
          <w:sz w:val="20"/>
          <w:szCs w:val="20"/>
          <w:lang w:val="en-US"/>
        </w:rPr>
        <w:t xml:space="preserve"> in </w:t>
      </w:r>
      <w:r>
        <w:rPr>
          <w:rFonts w:ascii="Arial Narrow" w:hAnsi="Arial Narrow"/>
          <w:sz w:val="20"/>
          <w:szCs w:val="20"/>
          <w:lang w:val="en-US"/>
        </w:rPr>
        <w:t>sect.</w:t>
      </w:r>
      <w:r w:rsidRPr="00483C58">
        <w:rPr>
          <w:rFonts w:ascii="Arial Narrow" w:hAnsi="Arial Narrow"/>
          <w:sz w:val="20"/>
          <w:szCs w:val="20"/>
          <w:lang w:val="en-US"/>
        </w:rPr>
        <w:t xml:space="preserve"> 2 (above) is understood to mean a date not less than one week before the new delivery date and, at the same time, not less than one week before the previous one</w:t>
      </w:r>
      <w:r>
        <w:rPr>
          <w:rFonts w:ascii="Arial Narrow" w:hAnsi="Arial Narrow"/>
          <w:sz w:val="20"/>
          <w:szCs w:val="20"/>
          <w:lang w:val="en-US"/>
        </w:rPr>
        <w:t>.</w:t>
      </w:r>
    </w:p>
    <w:p w14:paraId="59B653FA" w14:textId="75B465F4" w:rsidR="00483C58" w:rsidRDefault="00483C58" w:rsidP="00483C58">
      <w:pPr>
        <w:pStyle w:val="Akapitzlist"/>
        <w:numPr>
          <w:ilvl w:val="0"/>
          <w:numId w:val="10"/>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In the </w:t>
      </w:r>
      <w:r>
        <w:rPr>
          <w:rFonts w:ascii="Arial Narrow" w:hAnsi="Arial Narrow"/>
          <w:sz w:val="20"/>
          <w:szCs w:val="20"/>
          <w:lang w:val="en-US"/>
        </w:rPr>
        <w:t>case</w:t>
      </w:r>
      <w:r w:rsidRPr="00483C58">
        <w:rPr>
          <w:rFonts w:ascii="Arial Narrow" w:hAnsi="Arial Narrow"/>
          <w:sz w:val="20"/>
          <w:szCs w:val="20"/>
          <w:lang w:val="en-US"/>
        </w:rPr>
        <w:t xml:space="preserve"> that the </w:t>
      </w:r>
      <w:r>
        <w:rPr>
          <w:rFonts w:ascii="Arial Narrow" w:hAnsi="Arial Narrow"/>
          <w:sz w:val="20"/>
          <w:szCs w:val="20"/>
          <w:lang w:val="en-US"/>
        </w:rPr>
        <w:t>Client</w:t>
      </w:r>
      <w:r w:rsidRPr="00483C58">
        <w:rPr>
          <w:rFonts w:ascii="Arial Narrow" w:hAnsi="Arial Narrow"/>
          <w:sz w:val="20"/>
          <w:szCs w:val="20"/>
          <w:lang w:val="en-US"/>
        </w:rPr>
        <w:t xml:space="preserve"> refuses to accept the Products despite their compliance with the Form, GFB will be entitled to charge a contractual penalty, in the amount of the value of the order plus transportation costs. The contractual penalty does not exclude the assertion of supplementary damages on general principles</w:t>
      </w:r>
      <w:r>
        <w:rPr>
          <w:rFonts w:ascii="Arial Narrow" w:hAnsi="Arial Narrow"/>
          <w:sz w:val="20"/>
          <w:szCs w:val="20"/>
          <w:lang w:val="en-US"/>
        </w:rPr>
        <w:t>.</w:t>
      </w:r>
    </w:p>
    <w:p w14:paraId="31990690" w14:textId="6E089CAD" w:rsidR="00483C58" w:rsidRDefault="00483C58" w:rsidP="00483C58">
      <w:pPr>
        <w:pStyle w:val="Akapitzlist"/>
        <w:numPr>
          <w:ilvl w:val="0"/>
          <w:numId w:val="10"/>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The moment of receipt of the Product shall be deemed to be the signing of the protocol of receipt by the</w:t>
      </w:r>
      <w:r>
        <w:rPr>
          <w:rFonts w:ascii="Arial Narrow" w:hAnsi="Arial Narrow"/>
          <w:sz w:val="20"/>
          <w:szCs w:val="20"/>
          <w:lang w:val="en-US"/>
        </w:rPr>
        <w:t xml:space="preserve"> Client</w:t>
      </w:r>
      <w:r w:rsidRPr="00483C58">
        <w:rPr>
          <w:rFonts w:ascii="Arial Narrow" w:hAnsi="Arial Narrow"/>
          <w:sz w:val="20"/>
          <w:szCs w:val="20"/>
          <w:lang w:val="en-US"/>
        </w:rPr>
        <w:t xml:space="preserve"> or the carrier carrying out the transport of the Product on his order.</w:t>
      </w:r>
    </w:p>
    <w:p w14:paraId="5B6F8CAF" w14:textId="24B8401F" w:rsidR="00483C58" w:rsidRDefault="00483C58" w:rsidP="00483C58">
      <w:pPr>
        <w:pStyle w:val="Akapitzlist"/>
        <w:numPr>
          <w:ilvl w:val="0"/>
          <w:numId w:val="10"/>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Upon acceptance, all risks regarding the storage and possible further transportation of the Product shall be transferred to the </w:t>
      </w:r>
      <w:r>
        <w:rPr>
          <w:rFonts w:ascii="Arial Narrow" w:hAnsi="Arial Narrow"/>
          <w:sz w:val="20"/>
          <w:szCs w:val="20"/>
          <w:lang w:val="en-US"/>
        </w:rPr>
        <w:t>Client.</w:t>
      </w:r>
    </w:p>
    <w:p w14:paraId="0F4B7356" w14:textId="22F133FC" w:rsidR="00483C58" w:rsidRDefault="00483C58" w:rsidP="00483C58">
      <w:pPr>
        <w:pStyle w:val="Akapitzlist"/>
        <w:numPr>
          <w:ilvl w:val="0"/>
          <w:numId w:val="10"/>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GFB shall not be liable for the </w:t>
      </w:r>
      <w:r>
        <w:rPr>
          <w:rFonts w:ascii="Arial Narrow" w:hAnsi="Arial Narrow"/>
          <w:sz w:val="20"/>
          <w:szCs w:val="20"/>
          <w:lang w:val="en-US"/>
        </w:rPr>
        <w:t>Client</w:t>
      </w:r>
      <w:r w:rsidRPr="00483C58">
        <w:rPr>
          <w:rFonts w:ascii="Arial Narrow" w:hAnsi="Arial Narrow"/>
          <w:sz w:val="20"/>
          <w:szCs w:val="20"/>
          <w:lang w:val="en-US"/>
        </w:rPr>
        <w:t>'s acts or omissions affecting the quality of the Product, i.e., among other things, the</w:t>
      </w:r>
      <w:r>
        <w:rPr>
          <w:rFonts w:ascii="Arial Narrow" w:hAnsi="Arial Narrow"/>
          <w:sz w:val="20"/>
          <w:szCs w:val="20"/>
          <w:lang w:val="en-US"/>
        </w:rPr>
        <w:t xml:space="preserve"> Client</w:t>
      </w:r>
      <w:r w:rsidRPr="00483C58">
        <w:rPr>
          <w:rFonts w:ascii="Arial Narrow" w:hAnsi="Arial Narrow"/>
          <w:sz w:val="20"/>
          <w:szCs w:val="20"/>
          <w:lang w:val="en-US"/>
        </w:rPr>
        <w:t>'s failure to maintain proper thermal conditions for the Product</w:t>
      </w:r>
      <w:r>
        <w:rPr>
          <w:rFonts w:ascii="Arial Narrow" w:hAnsi="Arial Narrow"/>
          <w:sz w:val="20"/>
          <w:szCs w:val="20"/>
          <w:lang w:val="en-US"/>
        </w:rPr>
        <w:t>.</w:t>
      </w:r>
    </w:p>
    <w:p w14:paraId="05A6DFAC" w14:textId="2C2B02A3" w:rsidR="00483C58" w:rsidRDefault="00483C58" w:rsidP="00483C58">
      <w:pPr>
        <w:spacing w:after="120" w:line="240" w:lineRule="auto"/>
        <w:jc w:val="center"/>
        <w:rPr>
          <w:rFonts w:ascii="Arial Narrow" w:hAnsi="Arial Narrow"/>
          <w:b/>
          <w:bCs/>
          <w:sz w:val="20"/>
          <w:szCs w:val="20"/>
          <w:lang w:val="en-US"/>
        </w:rPr>
      </w:pPr>
      <w:r w:rsidRPr="00483C58">
        <w:rPr>
          <w:rFonts w:ascii="Arial Narrow" w:hAnsi="Arial Narrow"/>
          <w:b/>
          <w:bCs/>
          <w:sz w:val="20"/>
          <w:szCs w:val="20"/>
          <w:lang w:val="en-US"/>
        </w:rPr>
        <w:t>§ 8</w:t>
      </w:r>
    </w:p>
    <w:p w14:paraId="0910F49F" w14:textId="374DA6A4" w:rsidR="00483C58" w:rsidRDefault="00483C58" w:rsidP="00483C58">
      <w:pPr>
        <w:spacing w:after="120" w:line="240" w:lineRule="auto"/>
        <w:jc w:val="center"/>
        <w:rPr>
          <w:rFonts w:ascii="Arial Narrow" w:hAnsi="Arial Narrow"/>
          <w:b/>
          <w:bCs/>
          <w:sz w:val="20"/>
          <w:szCs w:val="20"/>
          <w:lang w:val="en-US"/>
        </w:rPr>
      </w:pPr>
      <w:r>
        <w:rPr>
          <w:rFonts w:ascii="Arial Narrow" w:hAnsi="Arial Narrow"/>
          <w:b/>
          <w:bCs/>
          <w:sz w:val="20"/>
          <w:szCs w:val="20"/>
          <w:lang w:val="en-US"/>
        </w:rPr>
        <w:t>Complaints</w:t>
      </w:r>
    </w:p>
    <w:p w14:paraId="38FEBF9D" w14:textId="79F6E5D8" w:rsidR="00483C58" w:rsidRDefault="00483C58" w:rsidP="00483C58">
      <w:pPr>
        <w:pStyle w:val="Akapitzlist"/>
        <w:numPr>
          <w:ilvl w:val="0"/>
          <w:numId w:val="11"/>
        </w:numPr>
        <w:spacing w:after="120" w:line="240" w:lineRule="auto"/>
        <w:ind w:left="284" w:hanging="426"/>
        <w:contextualSpacing w:val="0"/>
        <w:jc w:val="both"/>
        <w:rPr>
          <w:rFonts w:ascii="Arial Narrow" w:hAnsi="Arial Narrow"/>
          <w:sz w:val="20"/>
          <w:szCs w:val="20"/>
          <w:lang w:val="en-US"/>
        </w:rPr>
      </w:pPr>
      <w:r w:rsidRPr="00483C58">
        <w:rPr>
          <w:rFonts w:ascii="Arial Narrow" w:hAnsi="Arial Narrow"/>
          <w:sz w:val="20"/>
          <w:szCs w:val="20"/>
          <w:lang w:val="en-US"/>
        </w:rPr>
        <w:t>GFB guarantees that the Product will be of good quality and will meet all the requirements set forth by Polish and EU food laws.</w:t>
      </w:r>
    </w:p>
    <w:p w14:paraId="0FDC7659" w14:textId="5464DEEA" w:rsidR="00483C58" w:rsidRDefault="00483C58" w:rsidP="00483C58">
      <w:pPr>
        <w:pStyle w:val="Akapitzlist"/>
        <w:numPr>
          <w:ilvl w:val="0"/>
          <w:numId w:val="11"/>
        </w:numPr>
        <w:spacing w:after="120" w:line="240" w:lineRule="auto"/>
        <w:ind w:left="284" w:hanging="426"/>
        <w:contextualSpacing w:val="0"/>
        <w:jc w:val="both"/>
        <w:rPr>
          <w:rFonts w:ascii="Arial Narrow" w:hAnsi="Arial Narrow"/>
          <w:sz w:val="20"/>
          <w:szCs w:val="20"/>
          <w:lang w:val="en-US"/>
        </w:rPr>
      </w:pPr>
      <w:r w:rsidRPr="00483C58">
        <w:rPr>
          <w:rFonts w:ascii="Arial Narrow" w:hAnsi="Arial Narrow"/>
          <w:sz w:val="20"/>
          <w:szCs w:val="20"/>
          <w:lang w:val="en-US"/>
        </w:rPr>
        <w:t xml:space="preserve">If defects are found in a Product delivered to the </w:t>
      </w:r>
      <w:r>
        <w:rPr>
          <w:rFonts w:ascii="Arial Narrow" w:hAnsi="Arial Narrow"/>
          <w:sz w:val="20"/>
          <w:szCs w:val="20"/>
          <w:lang w:val="en-US"/>
        </w:rPr>
        <w:t>Client</w:t>
      </w:r>
      <w:r w:rsidRPr="00483C58">
        <w:rPr>
          <w:rFonts w:ascii="Arial Narrow" w:hAnsi="Arial Narrow"/>
          <w:sz w:val="20"/>
          <w:szCs w:val="20"/>
          <w:lang w:val="en-US"/>
        </w:rPr>
        <w:t xml:space="preserve"> directly by GFB, the </w:t>
      </w:r>
      <w:r>
        <w:rPr>
          <w:rFonts w:ascii="Arial Narrow" w:hAnsi="Arial Narrow"/>
          <w:sz w:val="20"/>
          <w:szCs w:val="20"/>
          <w:lang w:val="en-US"/>
        </w:rPr>
        <w:t>Client</w:t>
      </w:r>
      <w:r w:rsidRPr="00483C58">
        <w:rPr>
          <w:rFonts w:ascii="Arial Narrow" w:hAnsi="Arial Narrow"/>
          <w:sz w:val="20"/>
          <w:szCs w:val="20"/>
          <w:lang w:val="en-US"/>
        </w:rPr>
        <w:t xml:space="preserve"> </w:t>
      </w:r>
      <w:r>
        <w:rPr>
          <w:rFonts w:ascii="Arial Narrow" w:hAnsi="Arial Narrow"/>
          <w:sz w:val="20"/>
          <w:szCs w:val="20"/>
          <w:lang w:val="en-US"/>
        </w:rPr>
        <w:t>undertakes</w:t>
      </w:r>
      <w:r w:rsidRPr="00483C58">
        <w:rPr>
          <w:rFonts w:ascii="Arial Narrow" w:hAnsi="Arial Narrow"/>
          <w:sz w:val="20"/>
          <w:szCs w:val="20"/>
          <w:lang w:val="en-US"/>
        </w:rPr>
        <w:t xml:space="preserve"> to immediately notify GFB of the problem in writing or by e-mail attaching appropriate documentation confirming the specified defects in the Product (photographic documentation, laboratory test results).</w:t>
      </w:r>
    </w:p>
    <w:p w14:paraId="15E8DB9A" w14:textId="1CDA03A5" w:rsidR="00483C58" w:rsidRDefault="00483C58" w:rsidP="00483C58">
      <w:pPr>
        <w:pStyle w:val="Akapitzlist"/>
        <w:numPr>
          <w:ilvl w:val="0"/>
          <w:numId w:val="11"/>
        </w:numPr>
        <w:spacing w:after="120" w:line="240" w:lineRule="auto"/>
        <w:ind w:left="284" w:hanging="426"/>
        <w:contextualSpacing w:val="0"/>
        <w:jc w:val="both"/>
        <w:rPr>
          <w:rFonts w:ascii="Arial Narrow" w:hAnsi="Arial Narrow"/>
          <w:sz w:val="20"/>
          <w:szCs w:val="20"/>
          <w:lang w:val="en-US"/>
        </w:rPr>
      </w:pPr>
      <w:r w:rsidRPr="00483C58">
        <w:rPr>
          <w:rFonts w:ascii="Arial Narrow" w:hAnsi="Arial Narrow"/>
          <w:sz w:val="20"/>
          <w:szCs w:val="20"/>
          <w:lang w:val="en-US"/>
        </w:rPr>
        <w:t xml:space="preserve">Due to the characteristics of the Product and the related standards of conduct, the </w:t>
      </w:r>
      <w:r>
        <w:rPr>
          <w:rFonts w:ascii="Arial Narrow" w:hAnsi="Arial Narrow"/>
          <w:sz w:val="20"/>
          <w:szCs w:val="20"/>
          <w:lang w:val="en-US"/>
        </w:rPr>
        <w:t>Client</w:t>
      </w:r>
      <w:r w:rsidRPr="00483C58">
        <w:rPr>
          <w:rFonts w:ascii="Arial Narrow" w:hAnsi="Arial Narrow"/>
          <w:sz w:val="20"/>
          <w:szCs w:val="20"/>
          <w:lang w:val="en-US"/>
        </w:rPr>
        <w:t xml:space="preserve"> undertakes to attach to the Complaint also documents confirming that the </w:t>
      </w:r>
      <w:r>
        <w:rPr>
          <w:rFonts w:ascii="Arial Narrow" w:hAnsi="Arial Narrow"/>
          <w:sz w:val="20"/>
          <w:szCs w:val="20"/>
          <w:lang w:val="en-US"/>
        </w:rPr>
        <w:t>Client</w:t>
      </w:r>
      <w:r w:rsidRPr="00483C58">
        <w:rPr>
          <w:rFonts w:ascii="Arial Narrow" w:hAnsi="Arial Narrow"/>
          <w:sz w:val="20"/>
          <w:szCs w:val="20"/>
          <w:lang w:val="en-US"/>
        </w:rPr>
        <w:t xml:space="preserve"> or its customers have complied with the relevant procedures, i.e., among other things, maintaining the continuity of the cold chain or the required conditions of storage of the Product.</w:t>
      </w:r>
    </w:p>
    <w:p w14:paraId="72CAA04A" w14:textId="1A641028" w:rsidR="00483C58" w:rsidRDefault="00483C58" w:rsidP="00483C58">
      <w:pPr>
        <w:pStyle w:val="Akapitzlist"/>
        <w:numPr>
          <w:ilvl w:val="0"/>
          <w:numId w:val="11"/>
        </w:numPr>
        <w:spacing w:after="120" w:line="240" w:lineRule="auto"/>
        <w:ind w:left="284" w:hanging="426"/>
        <w:contextualSpacing w:val="0"/>
        <w:jc w:val="both"/>
        <w:rPr>
          <w:rFonts w:ascii="Arial Narrow" w:hAnsi="Arial Narrow"/>
          <w:sz w:val="20"/>
          <w:szCs w:val="20"/>
          <w:lang w:val="en-US"/>
        </w:rPr>
      </w:pPr>
      <w:r w:rsidRPr="00483C58">
        <w:rPr>
          <w:rFonts w:ascii="Arial Narrow" w:hAnsi="Arial Narrow"/>
          <w:sz w:val="20"/>
          <w:szCs w:val="20"/>
          <w:lang w:val="en-US"/>
        </w:rPr>
        <w:t>GFB undertakes to consider the Complaint within 21 working days from the date of its receipt. Failure to respond within the</w:t>
      </w:r>
      <w:r>
        <w:rPr>
          <w:rFonts w:ascii="Arial Narrow" w:hAnsi="Arial Narrow"/>
          <w:sz w:val="20"/>
          <w:szCs w:val="20"/>
          <w:lang w:val="en-US"/>
        </w:rPr>
        <w:t xml:space="preserve"> </w:t>
      </w:r>
      <w:r w:rsidRPr="00483C58">
        <w:rPr>
          <w:rFonts w:ascii="Arial Narrow" w:hAnsi="Arial Narrow"/>
          <w:sz w:val="20"/>
          <w:szCs w:val="20"/>
          <w:lang w:val="en-US"/>
        </w:rPr>
        <w:t>mentioned period shall be deemed acceptance of the Complaint</w:t>
      </w:r>
      <w:r>
        <w:rPr>
          <w:rFonts w:ascii="Arial Narrow" w:hAnsi="Arial Narrow"/>
          <w:sz w:val="20"/>
          <w:szCs w:val="20"/>
          <w:lang w:val="en-US"/>
        </w:rPr>
        <w:t>.</w:t>
      </w:r>
    </w:p>
    <w:p w14:paraId="62BBA221" w14:textId="34EBD8C4" w:rsidR="00483C58" w:rsidRDefault="00483C58" w:rsidP="00483C58">
      <w:pPr>
        <w:spacing w:after="120" w:line="240" w:lineRule="auto"/>
        <w:jc w:val="center"/>
        <w:rPr>
          <w:rFonts w:ascii="Arial Narrow" w:hAnsi="Arial Narrow"/>
          <w:b/>
          <w:bCs/>
          <w:sz w:val="20"/>
          <w:szCs w:val="20"/>
          <w:lang w:val="en-US"/>
        </w:rPr>
      </w:pPr>
      <w:r w:rsidRPr="00483C58">
        <w:rPr>
          <w:rFonts w:ascii="Arial Narrow" w:hAnsi="Arial Narrow"/>
          <w:b/>
          <w:bCs/>
          <w:sz w:val="20"/>
          <w:szCs w:val="20"/>
          <w:lang w:val="en-US"/>
        </w:rPr>
        <w:t>§ 8</w:t>
      </w:r>
    </w:p>
    <w:p w14:paraId="56E79BE9" w14:textId="15C496CC" w:rsidR="00483C58" w:rsidRDefault="00483C58" w:rsidP="00483C58">
      <w:pPr>
        <w:spacing w:after="120" w:line="240" w:lineRule="auto"/>
        <w:jc w:val="center"/>
        <w:rPr>
          <w:rFonts w:ascii="Arial Narrow" w:hAnsi="Arial Narrow"/>
          <w:b/>
          <w:bCs/>
          <w:sz w:val="20"/>
          <w:szCs w:val="20"/>
          <w:lang w:val="en-US"/>
        </w:rPr>
      </w:pPr>
      <w:r>
        <w:rPr>
          <w:rFonts w:ascii="Arial Narrow" w:hAnsi="Arial Narrow"/>
          <w:b/>
          <w:bCs/>
          <w:sz w:val="20"/>
          <w:szCs w:val="20"/>
          <w:lang w:val="en-US"/>
        </w:rPr>
        <w:t xml:space="preserve">Payment </w:t>
      </w:r>
    </w:p>
    <w:p w14:paraId="31D9CDED" w14:textId="0BCC9E8F" w:rsidR="00483C58" w:rsidRDefault="00483C58" w:rsidP="00483C58">
      <w:pPr>
        <w:pStyle w:val="Akapitzlist"/>
        <w:numPr>
          <w:ilvl w:val="0"/>
          <w:numId w:val="12"/>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For the performance of the Agreement, the </w:t>
      </w:r>
      <w:r>
        <w:rPr>
          <w:rFonts w:ascii="Arial Narrow" w:hAnsi="Arial Narrow"/>
          <w:sz w:val="20"/>
          <w:szCs w:val="20"/>
          <w:lang w:val="en-US"/>
        </w:rPr>
        <w:t>Client</w:t>
      </w:r>
      <w:r w:rsidRPr="00483C58">
        <w:rPr>
          <w:rFonts w:ascii="Arial Narrow" w:hAnsi="Arial Narrow"/>
          <w:sz w:val="20"/>
          <w:szCs w:val="20"/>
          <w:lang w:val="en-US"/>
        </w:rPr>
        <w:t xml:space="preserve"> shall pay GFB the amount specified in the relevant VAT invoice and to the bank account indicated therein within 14 days from the date of delivery of the mentioned invoice, unless the Parties agree otherwise</w:t>
      </w:r>
      <w:r>
        <w:rPr>
          <w:rFonts w:ascii="Arial Narrow" w:hAnsi="Arial Narrow"/>
          <w:sz w:val="20"/>
          <w:szCs w:val="20"/>
          <w:lang w:val="en-US"/>
        </w:rPr>
        <w:t>.</w:t>
      </w:r>
    </w:p>
    <w:p w14:paraId="420F95B1" w14:textId="449278AE" w:rsidR="00483C58" w:rsidRDefault="00483C58" w:rsidP="00483C58">
      <w:pPr>
        <w:pStyle w:val="Akapitzlist"/>
        <w:numPr>
          <w:ilvl w:val="0"/>
          <w:numId w:val="12"/>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The day of payment </w:t>
      </w:r>
      <w:proofErr w:type="gramStart"/>
      <w:r w:rsidRPr="00483C58">
        <w:rPr>
          <w:rFonts w:ascii="Arial Narrow" w:hAnsi="Arial Narrow"/>
          <w:sz w:val="20"/>
          <w:szCs w:val="20"/>
          <w:lang w:val="en-US"/>
        </w:rPr>
        <w:t>is considered to be</w:t>
      </w:r>
      <w:proofErr w:type="gramEnd"/>
      <w:r w:rsidRPr="00483C58">
        <w:rPr>
          <w:rFonts w:ascii="Arial Narrow" w:hAnsi="Arial Narrow"/>
          <w:sz w:val="20"/>
          <w:szCs w:val="20"/>
          <w:lang w:val="en-US"/>
        </w:rPr>
        <w:t xml:space="preserve"> the day of crediting the GFB account.</w:t>
      </w:r>
    </w:p>
    <w:p w14:paraId="422C8041" w14:textId="43EB8720" w:rsidR="00483C58" w:rsidRDefault="00483C58" w:rsidP="00483C58">
      <w:pPr>
        <w:pStyle w:val="Akapitzlist"/>
        <w:numPr>
          <w:ilvl w:val="0"/>
          <w:numId w:val="12"/>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Any additional fees related to international money transfers (if applicable) will be charged to the </w:t>
      </w:r>
      <w:r>
        <w:rPr>
          <w:rFonts w:ascii="Arial Narrow" w:hAnsi="Arial Narrow"/>
          <w:sz w:val="20"/>
          <w:szCs w:val="20"/>
          <w:lang w:val="en-US"/>
        </w:rPr>
        <w:t>Client.</w:t>
      </w:r>
    </w:p>
    <w:p w14:paraId="766016FD" w14:textId="1AD6352F" w:rsidR="00483C58" w:rsidRDefault="00483C58" w:rsidP="00483C58">
      <w:pPr>
        <w:spacing w:after="120" w:line="240" w:lineRule="auto"/>
        <w:jc w:val="center"/>
        <w:rPr>
          <w:rFonts w:ascii="Arial Narrow" w:hAnsi="Arial Narrow"/>
          <w:b/>
          <w:bCs/>
          <w:sz w:val="20"/>
          <w:szCs w:val="20"/>
          <w:lang w:val="en-US"/>
        </w:rPr>
      </w:pPr>
      <w:r w:rsidRPr="00483C58">
        <w:rPr>
          <w:rFonts w:ascii="Arial Narrow" w:hAnsi="Arial Narrow"/>
          <w:b/>
          <w:bCs/>
          <w:sz w:val="20"/>
          <w:szCs w:val="20"/>
          <w:lang w:val="en-US"/>
        </w:rPr>
        <w:t>§ 9</w:t>
      </w:r>
    </w:p>
    <w:p w14:paraId="26C302A0" w14:textId="7277B32C" w:rsidR="00483C58" w:rsidRDefault="00483C58" w:rsidP="00483C58">
      <w:pPr>
        <w:spacing w:after="120" w:line="240" w:lineRule="auto"/>
        <w:jc w:val="center"/>
        <w:rPr>
          <w:rFonts w:ascii="Arial Narrow" w:hAnsi="Arial Narrow"/>
          <w:b/>
          <w:bCs/>
          <w:sz w:val="20"/>
          <w:szCs w:val="20"/>
          <w:lang w:val="en-US"/>
        </w:rPr>
      </w:pPr>
      <w:r>
        <w:rPr>
          <w:rFonts w:ascii="Arial Narrow" w:hAnsi="Arial Narrow"/>
          <w:b/>
          <w:bCs/>
          <w:sz w:val="20"/>
          <w:szCs w:val="20"/>
          <w:lang w:val="en-US"/>
        </w:rPr>
        <w:t>General rules of liability of the Parties</w:t>
      </w:r>
    </w:p>
    <w:p w14:paraId="75218A5B" w14:textId="3DABB2CA" w:rsidR="00483C58" w:rsidRDefault="00483C58" w:rsidP="00483C58">
      <w:pPr>
        <w:pStyle w:val="Akapitzlist"/>
        <w:numPr>
          <w:ilvl w:val="0"/>
          <w:numId w:val="13"/>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Unless otherwise provided by mandatory provisions of law, GFB's liability shall be limited to the actual losses (</w:t>
      </w:r>
      <w:r w:rsidRPr="00483C58">
        <w:rPr>
          <w:rFonts w:ascii="Arial Narrow" w:hAnsi="Arial Narrow"/>
          <w:i/>
          <w:iCs/>
          <w:sz w:val="20"/>
          <w:szCs w:val="20"/>
          <w:lang w:val="en-US"/>
        </w:rPr>
        <w:t xml:space="preserve">damnum </w:t>
      </w:r>
      <w:proofErr w:type="spellStart"/>
      <w:r w:rsidRPr="00483C58">
        <w:rPr>
          <w:rFonts w:ascii="Arial Narrow" w:hAnsi="Arial Narrow"/>
          <w:i/>
          <w:iCs/>
          <w:sz w:val="20"/>
          <w:szCs w:val="20"/>
          <w:lang w:val="en-US"/>
        </w:rPr>
        <w:t>emergens</w:t>
      </w:r>
      <w:proofErr w:type="spellEnd"/>
      <w:r w:rsidRPr="00483C58">
        <w:rPr>
          <w:rFonts w:ascii="Arial Narrow" w:hAnsi="Arial Narrow"/>
          <w:sz w:val="20"/>
          <w:szCs w:val="20"/>
          <w:lang w:val="en-US"/>
        </w:rPr>
        <w:t xml:space="preserve">) incurred by the </w:t>
      </w:r>
      <w:r>
        <w:rPr>
          <w:rFonts w:ascii="Arial Narrow" w:hAnsi="Arial Narrow"/>
          <w:sz w:val="20"/>
          <w:szCs w:val="20"/>
          <w:lang w:val="en-US"/>
        </w:rPr>
        <w:t>Client</w:t>
      </w:r>
      <w:r w:rsidRPr="00483C58">
        <w:rPr>
          <w:rFonts w:ascii="Arial Narrow" w:hAnsi="Arial Narrow"/>
          <w:sz w:val="20"/>
          <w:szCs w:val="20"/>
          <w:lang w:val="en-US"/>
        </w:rPr>
        <w:t>. However, GFB's liability to the</w:t>
      </w:r>
      <w:r>
        <w:rPr>
          <w:rFonts w:ascii="Arial Narrow" w:hAnsi="Arial Narrow"/>
          <w:sz w:val="20"/>
          <w:szCs w:val="20"/>
          <w:lang w:val="en-US"/>
        </w:rPr>
        <w:t xml:space="preserve"> Client</w:t>
      </w:r>
      <w:r w:rsidRPr="00483C58">
        <w:rPr>
          <w:rFonts w:ascii="Arial Narrow" w:hAnsi="Arial Narrow"/>
          <w:sz w:val="20"/>
          <w:szCs w:val="20"/>
          <w:lang w:val="en-US"/>
        </w:rPr>
        <w:t xml:space="preserve"> shall not exceed the amount equivalent to the order specified in the relevant Form</w:t>
      </w:r>
      <w:r>
        <w:rPr>
          <w:rFonts w:ascii="Arial Narrow" w:hAnsi="Arial Narrow"/>
          <w:sz w:val="20"/>
          <w:szCs w:val="20"/>
          <w:lang w:val="en-US"/>
        </w:rPr>
        <w:t>.</w:t>
      </w:r>
    </w:p>
    <w:p w14:paraId="7419D191" w14:textId="7EF6B2E4" w:rsidR="00483C58" w:rsidRDefault="00483C58" w:rsidP="00483C58">
      <w:pPr>
        <w:pStyle w:val="Akapitzlist"/>
        <w:numPr>
          <w:ilvl w:val="0"/>
          <w:numId w:val="13"/>
        </w:numPr>
        <w:spacing w:after="120" w:line="240" w:lineRule="auto"/>
        <w:ind w:left="284" w:hanging="284"/>
        <w:contextualSpacing w:val="0"/>
        <w:jc w:val="both"/>
        <w:rPr>
          <w:rFonts w:ascii="Arial Narrow" w:hAnsi="Arial Narrow"/>
          <w:sz w:val="20"/>
          <w:szCs w:val="20"/>
          <w:lang w:val="en-US"/>
        </w:rPr>
      </w:pPr>
      <w:r>
        <w:rPr>
          <w:rFonts w:ascii="Arial Narrow" w:hAnsi="Arial Narrow"/>
          <w:sz w:val="20"/>
          <w:szCs w:val="20"/>
          <w:lang w:val="en-US"/>
        </w:rPr>
        <w:t>Client</w:t>
      </w:r>
      <w:r w:rsidRPr="00483C58">
        <w:rPr>
          <w:rFonts w:ascii="Arial Narrow" w:hAnsi="Arial Narrow"/>
          <w:sz w:val="20"/>
          <w:szCs w:val="20"/>
          <w:lang w:val="en-US"/>
        </w:rPr>
        <w:t>'s liability includes all damages incurred by GFB, both actual losses (</w:t>
      </w:r>
      <w:r w:rsidRPr="00483C58">
        <w:rPr>
          <w:rFonts w:ascii="Arial Narrow" w:hAnsi="Arial Narrow"/>
          <w:i/>
          <w:iCs/>
          <w:sz w:val="20"/>
          <w:szCs w:val="20"/>
          <w:lang w:val="en-US"/>
        </w:rPr>
        <w:t xml:space="preserve">damnum </w:t>
      </w:r>
      <w:proofErr w:type="spellStart"/>
      <w:r w:rsidRPr="00483C58">
        <w:rPr>
          <w:rFonts w:ascii="Arial Narrow" w:hAnsi="Arial Narrow"/>
          <w:i/>
          <w:iCs/>
          <w:sz w:val="20"/>
          <w:szCs w:val="20"/>
          <w:lang w:val="en-US"/>
        </w:rPr>
        <w:t>emergens</w:t>
      </w:r>
      <w:proofErr w:type="spellEnd"/>
      <w:r w:rsidRPr="00483C58">
        <w:rPr>
          <w:rFonts w:ascii="Arial Narrow" w:hAnsi="Arial Narrow"/>
          <w:sz w:val="20"/>
          <w:szCs w:val="20"/>
          <w:lang w:val="en-US"/>
        </w:rPr>
        <w:t>) and lost profits (</w:t>
      </w:r>
      <w:r w:rsidRPr="00483C58">
        <w:rPr>
          <w:rFonts w:ascii="Arial Narrow" w:hAnsi="Arial Narrow"/>
          <w:i/>
          <w:iCs/>
          <w:sz w:val="20"/>
          <w:szCs w:val="20"/>
          <w:lang w:val="en-US"/>
        </w:rPr>
        <w:t>lucrum cessans</w:t>
      </w:r>
      <w:r w:rsidRPr="00483C58">
        <w:rPr>
          <w:rFonts w:ascii="Arial Narrow" w:hAnsi="Arial Narrow"/>
          <w:sz w:val="20"/>
          <w:szCs w:val="20"/>
          <w:lang w:val="en-US"/>
        </w:rPr>
        <w:t>), both direct and indirect damages, including those resulting from claims raised by Third Parties</w:t>
      </w:r>
      <w:r>
        <w:rPr>
          <w:rFonts w:ascii="Arial Narrow" w:hAnsi="Arial Narrow"/>
          <w:sz w:val="20"/>
          <w:szCs w:val="20"/>
          <w:lang w:val="en-US"/>
        </w:rPr>
        <w:t>.</w:t>
      </w:r>
    </w:p>
    <w:p w14:paraId="7777224D" w14:textId="1E7283BB" w:rsidR="00483C58" w:rsidRDefault="00483C58" w:rsidP="00483C58">
      <w:pPr>
        <w:spacing w:after="120" w:line="240" w:lineRule="auto"/>
        <w:jc w:val="center"/>
        <w:rPr>
          <w:rFonts w:ascii="Arial Narrow" w:hAnsi="Arial Narrow"/>
          <w:b/>
          <w:bCs/>
          <w:sz w:val="20"/>
          <w:szCs w:val="20"/>
          <w:lang w:val="en-US"/>
        </w:rPr>
      </w:pPr>
      <w:r w:rsidRPr="00483C58">
        <w:rPr>
          <w:rFonts w:ascii="Arial Narrow" w:hAnsi="Arial Narrow"/>
          <w:b/>
          <w:bCs/>
          <w:sz w:val="20"/>
          <w:szCs w:val="20"/>
          <w:lang w:val="en-US"/>
        </w:rPr>
        <w:t>§ 10</w:t>
      </w:r>
    </w:p>
    <w:p w14:paraId="2A34514F" w14:textId="390172C9" w:rsidR="00483C58" w:rsidRDefault="00483C58" w:rsidP="00483C58">
      <w:pPr>
        <w:spacing w:after="120" w:line="240" w:lineRule="auto"/>
        <w:jc w:val="center"/>
        <w:rPr>
          <w:rFonts w:ascii="Arial Narrow" w:hAnsi="Arial Narrow"/>
          <w:b/>
          <w:bCs/>
          <w:sz w:val="20"/>
          <w:szCs w:val="20"/>
          <w:lang w:val="en-US"/>
        </w:rPr>
      </w:pPr>
      <w:r>
        <w:rPr>
          <w:rFonts w:ascii="Arial Narrow" w:hAnsi="Arial Narrow"/>
          <w:b/>
          <w:bCs/>
          <w:sz w:val="20"/>
          <w:szCs w:val="20"/>
          <w:lang w:val="en-US"/>
        </w:rPr>
        <w:t>Force majeure</w:t>
      </w:r>
    </w:p>
    <w:p w14:paraId="079D4976" w14:textId="6417ACC6" w:rsidR="00483C58" w:rsidRDefault="00483C58" w:rsidP="00483C58">
      <w:pPr>
        <w:pStyle w:val="Akapitzlist"/>
        <w:numPr>
          <w:ilvl w:val="0"/>
          <w:numId w:val="14"/>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Neither Party shall be liable for failure to perform or improper performance of its obligations under the Agreement as a direct result of force majeure circumstances.</w:t>
      </w:r>
    </w:p>
    <w:p w14:paraId="7B4C26DB" w14:textId="29882F66" w:rsidR="00483C58" w:rsidRDefault="00483C58" w:rsidP="00483C58">
      <w:pPr>
        <w:pStyle w:val="Akapitzlist"/>
        <w:numPr>
          <w:ilvl w:val="0"/>
          <w:numId w:val="14"/>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Force majeure shall be any unforeseeable and insurmountable fortuitous circumstance beyond the reasonable control of either Party, as well as any other Party that would be in its place, such as, but not limited to, war, epidemics, riots, natural disasters, governmental actions (including changes in the law), strikes, etc. that make it impossible to perform the provisions of the Agreement</w:t>
      </w:r>
      <w:r>
        <w:rPr>
          <w:rFonts w:ascii="Arial Narrow" w:hAnsi="Arial Narrow"/>
          <w:sz w:val="20"/>
          <w:szCs w:val="20"/>
          <w:lang w:val="en-US"/>
        </w:rPr>
        <w:t>.</w:t>
      </w:r>
    </w:p>
    <w:p w14:paraId="688F361E" w14:textId="2AD65BD1" w:rsidR="00483C58" w:rsidRDefault="00483C58" w:rsidP="00483C58">
      <w:pPr>
        <w:pStyle w:val="Akapitzlist"/>
        <w:numPr>
          <w:ilvl w:val="0"/>
          <w:numId w:val="14"/>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The Party claiming the occurrence of Force Majeure shall notify the other Party of the occurrence of Force Majeure immediately upon </w:t>
      </w:r>
      <w:r w:rsidRPr="00483C58">
        <w:rPr>
          <w:rFonts w:ascii="Arial Narrow" w:hAnsi="Arial Narrow"/>
          <w:sz w:val="20"/>
          <w:szCs w:val="20"/>
          <w:lang w:val="en-US"/>
        </w:rPr>
        <w:lastRenderedPageBreak/>
        <w:t xml:space="preserve">becoming aware of it, but no later than within 7 days, making the </w:t>
      </w:r>
      <w:proofErr w:type="gramStart"/>
      <w:r w:rsidRPr="00483C58">
        <w:rPr>
          <w:rFonts w:ascii="Arial Narrow" w:hAnsi="Arial Narrow"/>
          <w:sz w:val="20"/>
          <w:szCs w:val="20"/>
          <w:lang w:val="en-US"/>
        </w:rPr>
        <w:t>aforementioned circumstances</w:t>
      </w:r>
      <w:proofErr w:type="gramEnd"/>
      <w:r w:rsidRPr="00483C58">
        <w:rPr>
          <w:rFonts w:ascii="Arial Narrow" w:hAnsi="Arial Narrow"/>
          <w:sz w:val="20"/>
          <w:szCs w:val="20"/>
          <w:lang w:val="en-US"/>
        </w:rPr>
        <w:t xml:space="preserve"> plausible under pain of losing the right to invoke them.  </w:t>
      </w:r>
    </w:p>
    <w:p w14:paraId="7C8D1EE3" w14:textId="0D03E7FD" w:rsidR="00483C58" w:rsidRDefault="00483C58" w:rsidP="00483C58">
      <w:pPr>
        <w:spacing w:after="120" w:line="240" w:lineRule="auto"/>
        <w:jc w:val="center"/>
        <w:rPr>
          <w:rFonts w:ascii="Arial Narrow" w:hAnsi="Arial Narrow"/>
          <w:b/>
          <w:bCs/>
          <w:sz w:val="20"/>
          <w:szCs w:val="20"/>
          <w:lang w:val="en-US"/>
        </w:rPr>
      </w:pPr>
      <w:r w:rsidRPr="00483C58">
        <w:rPr>
          <w:rFonts w:ascii="Arial Narrow" w:hAnsi="Arial Narrow"/>
          <w:b/>
          <w:bCs/>
          <w:sz w:val="20"/>
          <w:szCs w:val="20"/>
          <w:lang w:val="en-US"/>
        </w:rPr>
        <w:t>§ 11</w:t>
      </w:r>
    </w:p>
    <w:p w14:paraId="69E77AAC" w14:textId="072647BE" w:rsidR="00483C58" w:rsidRDefault="00483C58" w:rsidP="00483C58">
      <w:pPr>
        <w:spacing w:after="120" w:line="240" w:lineRule="auto"/>
        <w:jc w:val="center"/>
        <w:rPr>
          <w:rFonts w:ascii="Arial Narrow" w:hAnsi="Arial Narrow"/>
          <w:b/>
          <w:bCs/>
          <w:sz w:val="20"/>
          <w:szCs w:val="20"/>
          <w:lang w:val="en-US"/>
        </w:rPr>
      </w:pPr>
      <w:r w:rsidRPr="00483C58">
        <w:rPr>
          <w:rFonts w:ascii="Arial Narrow" w:hAnsi="Arial Narrow"/>
          <w:b/>
          <w:bCs/>
          <w:sz w:val="20"/>
          <w:szCs w:val="20"/>
          <w:lang w:val="en-US"/>
        </w:rPr>
        <w:t>Confidentiality</w:t>
      </w:r>
    </w:p>
    <w:p w14:paraId="629AECB5" w14:textId="48434046" w:rsidR="00483C58" w:rsidRDefault="00483C58" w:rsidP="00483C58">
      <w:pPr>
        <w:pStyle w:val="Akapitzlist"/>
        <w:numPr>
          <w:ilvl w:val="0"/>
          <w:numId w:val="15"/>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The Parties shall consider as confidential all non-public information, </w:t>
      </w:r>
      <w:proofErr w:type="gramStart"/>
      <w:r w:rsidRPr="00483C58">
        <w:rPr>
          <w:rFonts w:ascii="Arial Narrow" w:hAnsi="Arial Narrow"/>
          <w:sz w:val="20"/>
          <w:szCs w:val="20"/>
          <w:lang w:val="en-US"/>
        </w:rPr>
        <w:t>in particular technical</w:t>
      </w:r>
      <w:proofErr w:type="gramEnd"/>
      <w:r w:rsidRPr="00483C58">
        <w:rPr>
          <w:rFonts w:ascii="Arial Narrow" w:hAnsi="Arial Narrow"/>
          <w:sz w:val="20"/>
          <w:szCs w:val="20"/>
          <w:lang w:val="en-US"/>
        </w:rPr>
        <w:t>, technological, commercial, organizational and other information of importance to them, including, but not limited to, the profile, methods and organization of work, technologies and tools used, and contractors of the Party, communicated orally, in writing or observed as given in connection with the execution of the Agreement.</w:t>
      </w:r>
    </w:p>
    <w:p w14:paraId="570597CB" w14:textId="537B26A8" w:rsidR="00483C58" w:rsidRDefault="00483C58" w:rsidP="00483C58">
      <w:pPr>
        <w:pStyle w:val="Akapitzlist"/>
        <w:numPr>
          <w:ilvl w:val="0"/>
          <w:numId w:val="15"/>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Confidential information shall not be provided by the Parties to anyone other than Employees, </w:t>
      </w:r>
      <w:proofErr w:type="gramStart"/>
      <w:r w:rsidRPr="00483C58">
        <w:rPr>
          <w:rFonts w:ascii="Arial Narrow" w:hAnsi="Arial Narrow"/>
          <w:sz w:val="20"/>
          <w:szCs w:val="20"/>
          <w:lang w:val="en-US"/>
        </w:rPr>
        <w:t>representatives</w:t>
      </w:r>
      <w:proofErr w:type="gramEnd"/>
      <w:r w:rsidRPr="00483C58">
        <w:rPr>
          <w:rFonts w:ascii="Arial Narrow" w:hAnsi="Arial Narrow"/>
          <w:sz w:val="20"/>
          <w:szCs w:val="20"/>
          <w:lang w:val="en-US"/>
        </w:rPr>
        <w:t xml:space="preserve"> or agents of the Parties, to whom knowledge of such information is necessary for the purpose of the Agreement. The Parties assume the obligation to inform the mentioned persons of their confidentiality-related obligations under the </w:t>
      </w:r>
      <w:r>
        <w:rPr>
          <w:rFonts w:ascii="Arial Narrow" w:hAnsi="Arial Narrow"/>
          <w:sz w:val="20"/>
          <w:szCs w:val="20"/>
          <w:lang w:val="en-US"/>
        </w:rPr>
        <w:t>OWU</w:t>
      </w:r>
      <w:r w:rsidRPr="00483C58">
        <w:rPr>
          <w:rFonts w:ascii="Arial Narrow" w:hAnsi="Arial Narrow"/>
          <w:sz w:val="20"/>
          <w:szCs w:val="20"/>
          <w:lang w:val="en-US"/>
        </w:rPr>
        <w:t>, i.e.</w:t>
      </w:r>
      <w:proofErr w:type="gramStart"/>
      <w:r w:rsidRPr="00483C58">
        <w:rPr>
          <w:rFonts w:ascii="Arial Narrow" w:hAnsi="Arial Narrow"/>
          <w:sz w:val="20"/>
          <w:szCs w:val="20"/>
          <w:lang w:val="en-US"/>
        </w:rPr>
        <w:t>, in particular, the</w:t>
      </w:r>
      <w:proofErr w:type="gramEnd"/>
      <w:r w:rsidRPr="00483C58">
        <w:rPr>
          <w:rFonts w:ascii="Arial Narrow" w:hAnsi="Arial Narrow"/>
          <w:sz w:val="20"/>
          <w:szCs w:val="20"/>
          <w:lang w:val="en-US"/>
        </w:rPr>
        <w:t xml:space="preserve"> obligation to keep confidential the information provided, as well as the obligation of such persons to keep confidential the confidential information to the extent specified in these </w:t>
      </w:r>
      <w:r>
        <w:rPr>
          <w:rFonts w:ascii="Arial Narrow" w:hAnsi="Arial Narrow"/>
          <w:sz w:val="20"/>
          <w:szCs w:val="20"/>
          <w:lang w:val="en-US"/>
        </w:rPr>
        <w:t>OWU</w:t>
      </w:r>
      <w:r w:rsidRPr="00483C58">
        <w:rPr>
          <w:rFonts w:ascii="Arial Narrow" w:hAnsi="Arial Narrow"/>
          <w:sz w:val="20"/>
          <w:szCs w:val="20"/>
          <w:lang w:val="en-US"/>
        </w:rPr>
        <w:t>.</w:t>
      </w:r>
    </w:p>
    <w:p w14:paraId="27F415FF" w14:textId="29BDFE29" w:rsidR="00483C58" w:rsidRDefault="00483C58" w:rsidP="00483C58">
      <w:pPr>
        <w:pStyle w:val="Akapitzlist"/>
        <w:numPr>
          <w:ilvl w:val="0"/>
          <w:numId w:val="15"/>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No confidential information may be copied or reproduced by either Party in any manner without the express written consent of the other </w:t>
      </w:r>
      <w:proofErr w:type="gramStart"/>
      <w:r w:rsidRPr="00483C58">
        <w:rPr>
          <w:rFonts w:ascii="Arial Narrow" w:hAnsi="Arial Narrow"/>
          <w:sz w:val="20"/>
          <w:szCs w:val="20"/>
          <w:lang w:val="en-US"/>
        </w:rPr>
        <w:t>Party, unless</w:t>
      </w:r>
      <w:proofErr w:type="gramEnd"/>
      <w:r w:rsidRPr="00483C58">
        <w:rPr>
          <w:rFonts w:ascii="Arial Narrow" w:hAnsi="Arial Narrow"/>
          <w:sz w:val="20"/>
          <w:szCs w:val="20"/>
          <w:lang w:val="en-US"/>
        </w:rPr>
        <w:t xml:space="preserve"> such copying is necessary for the purpose of providing the information to Employees of the Party or other Third Parties permitted to access the information under the provisions of this paragraph.</w:t>
      </w:r>
    </w:p>
    <w:p w14:paraId="28154F5D" w14:textId="77777777" w:rsidR="00483C58" w:rsidRDefault="00483C58" w:rsidP="00483C58">
      <w:pPr>
        <w:pStyle w:val="Akapitzlist"/>
        <w:numPr>
          <w:ilvl w:val="0"/>
          <w:numId w:val="15"/>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The limitations and obligations under the provisions of this paragraph shall not apply to information that: </w:t>
      </w:r>
    </w:p>
    <w:p w14:paraId="2D861989" w14:textId="67F1358B" w:rsidR="00483C58" w:rsidRPr="00483C58" w:rsidRDefault="00483C58" w:rsidP="00483C58">
      <w:pPr>
        <w:pStyle w:val="Akapitzlist"/>
        <w:numPr>
          <w:ilvl w:val="0"/>
          <w:numId w:val="16"/>
        </w:numPr>
        <w:spacing w:after="120" w:line="240" w:lineRule="auto"/>
        <w:ind w:left="567" w:hanging="283"/>
        <w:contextualSpacing w:val="0"/>
        <w:jc w:val="both"/>
        <w:rPr>
          <w:rFonts w:ascii="Arial Narrow" w:hAnsi="Arial Narrow"/>
          <w:sz w:val="20"/>
          <w:szCs w:val="20"/>
          <w:lang w:val="en-US"/>
        </w:rPr>
      </w:pPr>
      <w:r w:rsidRPr="00483C58">
        <w:rPr>
          <w:rFonts w:ascii="Arial Narrow" w:hAnsi="Arial Narrow"/>
          <w:sz w:val="20"/>
          <w:szCs w:val="20"/>
          <w:lang w:val="en-US"/>
        </w:rPr>
        <w:t xml:space="preserve">were known to the receiving Party before they were communicated to it, </w:t>
      </w:r>
    </w:p>
    <w:p w14:paraId="0C8E5C50" w14:textId="3FBEC5AB" w:rsidR="00483C58" w:rsidRPr="00483C58" w:rsidRDefault="00483C58" w:rsidP="00483C58">
      <w:pPr>
        <w:pStyle w:val="Akapitzlist"/>
        <w:numPr>
          <w:ilvl w:val="0"/>
          <w:numId w:val="16"/>
        </w:numPr>
        <w:spacing w:after="120" w:line="240" w:lineRule="auto"/>
        <w:ind w:left="567" w:hanging="283"/>
        <w:contextualSpacing w:val="0"/>
        <w:jc w:val="both"/>
        <w:rPr>
          <w:rFonts w:ascii="Arial Narrow" w:hAnsi="Arial Narrow"/>
          <w:sz w:val="20"/>
          <w:szCs w:val="20"/>
          <w:lang w:val="en-US"/>
        </w:rPr>
      </w:pPr>
      <w:r w:rsidRPr="00483C58">
        <w:rPr>
          <w:rFonts w:ascii="Arial Narrow" w:hAnsi="Arial Narrow"/>
          <w:sz w:val="20"/>
          <w:szCs w:val="20"/>
          <w:lang w:val="en-US"/>
        </w:rPr>
        <w:t xml:space="preserve">were publicly available before they were transferred,  </w:t>
      </w:r>
    </w:p>
    <w:p w14:paraId="4C781DBD" w14:textId="6230F24B" w:rsidR="00483C58" w:rsidRPr="00483C58" w:rsidRDefault="00483C58" w:rsidP="00483C58">
      <w:pPr>
        <w:pStyle w:val="Akapitzlist"/>
        <w:numPr>
          <w:ilvl w:val="0"/>
          <w:numId w:val="16"/>
        </w:numPr>
        <w:spacing w:after="120" w:line="240" w:lineRule="auto"/>
        <w:ind w:left="567" w:hanging="283"/>
        <w:contextualSpacing w:val="0"/>
        <w:jc w:val="both"/>
        <w:rPr>
          <w:rFonts w:ascii="Arial Narrow" w:hAnsi="Arial Narrow"/>
          <w:sz w:val="20"/>
          <w:szCs w:val="20"/>
          <w:lang w:val="en-US"/>
        </w:rPr>
      </w:pPr>
      <w:r w:rsidRPr="00483C58">
        <w:rPr>
          <w:rFonts w:ascii="Arial Narrow" w:hAnsi="Arial Narrow"/>
          <w:sz w:val="20"/>
          <w:szCs w:val="20"/>
          <w:lang w:val="en-US"/>
        </w:rPr>
        <w:t xml:space="preserve">became publicly available before they were transferred other than by violation of these </w:t>
      </w:r>
      <w:r>
        <w:rPr>
          <w:rFonts w:ascii="Arial Narrow" w:hAnsi="Arial Narrow"/>
          <w:sz w:val="20"/>
          <w:szCs w:val="20"/>
          <w:lang w:val="en-US"/>
        </w:rPr>
        <w:t>OWU</w:t>
      </w:r>
      <w:r w:rsidRPr="00483C58">
        <w:rPr>
          <w:rFonts w:ascii="Arial Narrow" w:hAnsi="Arial Narrow"/>
          <w:sz w:val="20"/>
          <w:szCs w:val="20"/>
          <w:lang w:val="en-US"/>
        </w:rPr>
        <w:t xml:space="preserve"> by the receiving Party, </w:t>
      </w:r>
    </w:p>
    <w:p w14:paraId="3719A9BC" w14:textId="66C2BD84" w:rsidR="00483C58" w:rsidRPr="00483C58" w:rsidRDefault="00483C58" w:rsidP="00483C58">
      <w:pPr>
        <w:pStyle w:val="Akapitzlist"/>
        <w:numPr>
          <w:ilvl w:val="0"/>
          <w:numId w:val="16"/>
        </w:numPr>
        <w:spacing w:after="120" w:line="240" w:lineRule="auto"/>
        <w:ind w:left="567" w:hanging="283"/>
        <w:contextualSpacing w:val="0"/>
        <w:jc w:val="both"/>
        <w:rPr>
          <w:rFonts w:ascii="Arial Narrow" w:hAnsi="Arial Narrow"/>
          <w:sz w:val="20"/>
          <w:szCs w:val="20"/>
          <w:lang w:val="en-US"/>
        </w:rPr>
      </w:pPr>
      <w:r w:rsidRPr="00483C58">
        <w:rPr>
          <w:rFonts w:ascii="Arial Narrow" w:hAnsi="Arial Narrow"/>
          <w:sz w:val="20"/>
          <w:szCs w:val="20"/>
          <w:lang w:val="en-US"/>
        </w:rPr>
        <w:t xml:space="preserve">there is clear and convincing evidence that they were independently developed by the receiving Party, </w:t>
      </w:r>
    </w:p>
    <w:p w14:paraId="11ED066F" w14:textId="06B25D6B" w:rsidR="00483C58" w:rsidRDefault="00483C58" w:rsidP="00483C58">
      <w:pPr>
        <w:pStyle w:val="Akapitzlist"/>
        <w:numPr>
          <w:ilvl w:val="0"/>
          <w:numId w:val="16"/>
        </w:numPr>
        <w:spacing w:after="120" w:line="240" w:lineRule="auto"/>
        <w:ind w:left="567" w:hanging="283"/>
        <w:contextualSpacing w:val="0"/>
        <w:jc w:val="both"/>
        <w:rPr>
          <w:rFonts w:ascii="Arial Narrow" w:hAnsi="Arial Narrow"/>
          <w:sz w:val="20"/>
          <w:szCs w:val="20"/>
          <w:lang w:val="en-US"/>
        </w:rPr>
      </w:pPr>
      <w:r w:rsidRPr="00483C58">
        <w:rPr>
          <w:rFonts w:ascii="Arial Narrow" w:hAnsi="Arial Narrow"/>
          <w:sz w:val="20"/>
          <w:szCs w:val="20"/>
          <w:lang w:val="en-US"/>
        </w:rPr>
        <w:t>they must be disclosed due to generally applicable laws or a legitimate request from competent public administration institutions, courts, etc.</w:t>
      </w:r>
    </w:p>
    <w:p w14:paraId="03B68EB8" w14:textId="18B75C36" w:rsidR="00483C58" w:rsidRDefault="00483C58" w:rsidP="00483C58">
      <w:pPr>
        <w:pStyle w:val="Akapitzlist"/>
        <w:numPr>
          <w:ilvl w:val="0"/>
          <w:numId w:val="17"/>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In the event of a dispute over the circumstances listed, the burden of proof shall be on the Party that received the information</w:t>
      </w:r>
      <w:r>
        <w:rPr>
          <w:rFonts w:ascii="Arial Narrow" w:hAnsi="Arial Narrow"/>
          <w:sz w:val="20"/>
          <w:szCs w:val="20"/>
          <w:lang w:val="en-US"/>
        </w:rPr>
        <w:t>.</w:t>
      </w:r>
    </w:p>
    <w:p w14:paraId="33E3F953" w14:textId="4D59554A" w:rsidR="00483C58" w:rsidRDefault="00483C58" w:rsidP="00483C58">
      <w:pPr>
        <w:pStyle w:val="Akapitzlist"/>
        <w:numPr>
          <w:ilvl w:val="0"/>
          <w:numId w:val="17"/>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The above provisions do not violate generally applicable regulations for the protection of confidential information or the protection of business secrets, and their execution shall not limit the obligations under the regulations mentioned above</w:t>
      </w:r>
      <w:r>
        <w:rPr>
          <w:rFonts w:ascii="Arial Narrow" w:hAnsi="Arial Narrow"/>
          <w:sz w:val="20"/>
          <w:szCs w:val="20"/>
          <w:lang w:val="en-US"/>
        </w:rPr>
        <w:t>.</w:t>
      </w:r>
    </w:p>
    <w:p w14:paraId="551647D0" w14:textId="7729D145" w:rsidR="00483C58" w:rsidRDefault="00483C58" w:rsidP="00483C58">
      <w:pPr>
        <w:pStyle w:val="Akapitzlist"/>
        <w:numPr>
          <w:ilvl w:val="0"/>
          <w:numId w:val="17"/>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The obligation of confidentiality is valid for the duration of the Agreement and for 10 years from the date of its termination</w:t>
      </w:r>
      <w:r>
        <w:rPr>
          <w:rFonts w:ascii="Arial Narrow" w:hAnsi="Arial Narrow"/>
          <w:sz w:val="20"/>
          <w:szCs w:val="20"/>
          <w:lang w:val="en-US"/>
        </w:rPr>
        <w:t>.</w:t>
      </w:r>
    </w:p>
    <w:p w14:paraId="373FB3AC" w14:textId="02E4B403" w:rsidR="00483C58" w:rsidRDefault="00483C58" w:rsidP="00483C58">
      <w:pPr>
        <w:spacing w:after="120" w:line="240" w:lineRule="auto"/>
        <w:jc w:val="center"/>
        <w:rPr>
          <w:rFonts w:ascii="Arial Narrow" w:hAnsi="Arial Narrow"/>
          <w:b/>
          <w:bCs/>
          <w:sz w:val="20"/>
          <w:szCs w:val="20"/>
          <w:lang w:val="en-US"/>
        </w:rPr>
      </w:pPr>
      <w:r w:rsidRPr="00483C58">
        <w:rPr>
          <w:rFonts w:ascii="Arial Narrow" w:hAnsi="Arial Narrow"/>
          <w:b/>
          <w:bCs/>
          <w:sz w:val="20"/>
          <w:szCs w:val="20"/>
          <w:lang w:val="en-US"/>
        </w:rPr>
        <w:t>§ 12</w:t>
      </w:r>
    </w:p>
    <w:p w14:paraId="1ADA7CEE" w14:textId="421690BB" w:rsidR="00483C58" w:rsidRDefault="00483C58" w:rsidP="00483C58">
      <w:pPr>
        <w:spacing w:after="120" w:line="240" w:lineRule="auto"/>
        <w:jc w:val="center"/>
        <w:rPr>
          <w:rFonts w:ascii="Arial Narrow" w:hAnsi="Arial Narrow"/>
          <w:b/>
          <w:bCs/>
          <w:sz w:val="20"/>
          <w:szCs w:val="20"/>
          <w:lang w:val="en-US"/>
        </w:rPr>
      </w:pPr>
      <w:r>
        <w:rPr>
          <w:rFonts w:ascii="Arial Narrow" w:hAnsi="Arial Narrow"/>
          <w:b/>
          <w:bCs/>
          <w:sz w:val="20"/>
          <w:szCs w:val="20"/>
          <w:lang w:val="en-US"/>
        </w:rPr>
        <w:t>Personal data</w:t>
      </w:r>
    </w:p>
    <w:p w14:paraId="76BB25E1" w14:textId="331B52CA" w:rsidR="00483C58" w:rsidRDefault="00483C58" w:rsidP="00483C58">
      <w:pPr>
        <w:pStyle w:val="Akapitzlist"/>
        <w:numPr>
          <w:ilvl w:val="0"/>
          <w:numId w:val="19"/>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Each Party shall process personal data provided by the other Party, i.e., inter alia, regarding the other Party's business partners, employees, </w:t>
      </w:r>
      <w:proofErr w:type="gramStart"/>
      <w:r w:rsidRPr="00483C58">
        <w:rPr>
          <w:rFonts w:ascii="Arial Narrow" w:hAnsi="Arial Narrow"/>
          <w:sz w:val="20"/>
          <w:szCs w:val="20"/>
          <w:lang w:val="en-US"/>
        </w:rPr>
        <w:t>representatives</w:t>
      </w:r>
      <w:proofErr w:type="gramEnd"/>
      <w:r w:rsidRPr="00483C58">
        <w:rPr>
          <w:rFonts w:ascii="Arial Narrow" w:hAnsi="Arial Narrow"/>
          <w:sz w:val="20"/>
          <w:szCs w:val="20"/>
          <w:lang w:val="en-US"/>
        </w:rPr>
        <w:t xml:space="preserve"> and agents provided within the </w:t>
      </w:r>
      <w:r w:rsidRPr="00483C58">
        <w:rPr>
          <w:rFonts w:ascii="Arial Narrow" w:hAnsi="Arial Narrow"/>
          <w:sz w:val="20"/>
          <w:szCs w:val="20"/>
          <w:lang w:val="en-US"/>
        </w:rPr>
        <w:t xml:space="preserve">framework of the Parties' relationship related to the performance of the Agreement covered by these </w:t>
      </w:r>
      <w:r>
        <w:rPr>
          <w:rFonts w:ascii="Arial Narrow" w:hAnsi="Arial Narrow"/>
          <w:sz w:val="20"/>
          <w:szCs w:val="20"/>
          <w:lang w:val="en-US"/>
        </w:rPr>
        <w:t>OWU</w:t>
      </w:r>
      <w:r w:rsidRPr="00483C58">
        <w:rPr>
          <w:rFonts w:ascii="Arial Narrow" w:hAnsi="Arial Narrow"/>
          <w:sz w:val="20"/>
          <w:szCs w:val="20"/>
          <w:lang w:val="en-US"/>
        </w:rPr>
        <w:t xml:space="preserve"> in accordance with applicable regulations, in particular the General Data Protection Regulation (GDPR).</w:t>
      </w:r>
    </w:p>
    <w:p w14:paraId="1E4E0918" w14:textId="5939C7EB" w:rsidR="00483C58" w:rsidRDefault="00483C58" w:rsidP="00483C58">
      <w:pPr>
        <w:pStyle w:val="Akapitzlist"/>
        <w:numPr>
          <w:ilvl w:val="0"/>
          <w:numId w:val="19"/>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GFB will provide </w:t>
      </w:r>
      <w:proofErr w:type="spellStart"/>
      <w:r w:rsidRPr="00483C58">
        <w:rPr>
          <w:rFonts w:ascii="Arial Narrow" w:hAnsi="Arial Narrow"/>
          <w:sz w:val="20"/>
          <w:szCs w:val="20"/>
          <w:lang w:val="en-US"/>
        </w:rPr>
        <w:t>the</w:t>
      </w:r>
      <w:proofErr w:type="spellEnd"/>
      <w:r w:rsidRPr="00483C58">
        <w:rPr>
          <w:rFonts w:ascii="Arial Narrow" w:hAnsi="Arial Narrow"/>
          <w:sz w:val="20"/>
          <w:szCs w:val="20"/>
          <w:lang w:val="en-US"/>
        </w:rPr>
        <w:t xml:space="preserve"> </w:t>
      </w:r>
      <w:r>
        <w:rPr>
          <w:rFonts w:ascii="Arial Narrow" w:hAnsi="Arial Narrow"/>
          <w:sz w:val="20"/>
          <w:szCs w:val="20"/>
          <w:lang w:val="en-US"/>
        </w:rPr>
        <w:t>Client</w:t>
      </w:r>
      <w:r w:rsidRPr="00483C58">
        <w:rPr>
          <w:rFonts w:ascii="Arial Narrow" w:hAnsi="Arial Narrow"/>
          <w:sz w:val="20"/>
          <w:szCs w:val="20"/>
          <w:lang w:val="en-US"/>
        </w:rPr>
        <w:t xml:space="preserve"> with an information clause, which constitutes the information required under Articles 13 and 14 of the GDPR, available at: https://gfbdairy.eu/ constituting the Annex to these GDPR, </w:t>
      </w:r>
      <w:proofErr w:type="gramStart"/>
      <w:r w:rsidRPr="00483C58">
        <w:rPr>
          <w:rFonts w:ascii="Arial Narrow" w:hAnsi="Arial Narrow"/>
          <w:sz w:val="20"/>
          <w:szCs w:val="20"/>
          <w:lang w:val="en-US"/>
        </w:rPr>
        <w:t>in order to</w:t>
      </w:r>
      <w:proofErr w:type="gramEnd"/>
      <w:r w:rsidRPr="00483C58">
        <w:rPr>
          <w:rFonts w:ascii="Arial Narrow" w:hAnsi="Arial Narrow"/>
          <w:sz w:val="20"/>
          <w:szCs w:val="20"/>
          <w:lang w:val="en-US"/>
        </w:rPr>
        <w:t xml:space="preserve"> communicate these clauses to all data subjects whose personal data are to be transferred between the Parties.</w:t>
      </w:r>
      <w:r>
        <w:rPr>
          <w:rFonts w:ascii="Arial Narrow" w:hAnsi="Arial Narrow"/>
          <w:sz w:val="20"/>
          <w:szCs w:val="20"/>
          <w:lang w:val="en-US"/>
        </w:rPr>
        <w:t xml:space="preserve"> Client </w:t>
      </w:r>
      <w:r w:rsidRPr="00483C58">
        <w:rPr>
          <w:rFonts w:ascii="Arial Narrow" w:hAnsi="Arial Narrow"/>
          <w:sz w:val="20"/>
          <w:szCs w:val="20"/>
          <w:lang w:val="en-US"/>
        </w:rPr>
        <w:t>undertakes to GFB to provide these clauses to the data subjects</w:t>
      </w:r>
      <w:r>
        <w:rPr>
          <w:rFonts w:ascii="Arial Narrow" w:hAnsi="Arial Narrow"/>
          <w:sz w:val="20"/>
          <w:szCs w:val="20"/>
          <w:lang w:val="en-US"/>
        </w:rPr>
        <w:t>.</w:t>
      </w:r>
    </w:p>
    <w:p w14:paraId="232E342E" w14:textId="54CF515B" w:rsidR="00483C58" w:rsidRDefault="00483C58" w:rsidP="00483C58">
      <w:pPr>
        <w:spacing w:after="120" w:line="240" w:lineRule="auto"/>
        <w:jc w:val="center"/>
        <w:rPr>
          <w:rFonts w:ascii="Arial Narrow" w:hAnsi="Arial Narrow"/>
          <w:b/>
          <w:bCs/>
          <w:sz w:val="20"/>
          <w:szCs w:val="20"/>
          <w:lang w:val="en-US"/>
        </w:rPr>
      </w:pPr>
      <w:r w:rsidRPr="00483C58">
        <w:rPr>
          <w:rFonts w:ascii="Arial Narrow" w:hAnsi="Arial Narrow"/>
          <w:b/>
          <w:bCs/>
          <w:sz w:val="20"/>
          <w:szCs w:val="20"/>
          <w:lang w:val="en-US"/>
        </w:rPr>
        <w:t>§ 13</w:t>
      </w:r>
    </w:p>
    <w:p w14:paraId="3071040D" w14:textId="63AA28FE" w:rsidR="00483C58" w:rsidRDefault="00483C58" w:rsidP="00483C58">
      <w:pPr>
        <w:spacing w:after="120" w:line="240" w:lineRule="auto"/>
        <w:jc w:val="center"/>
        <w:rPr>
          <w:rFonts w:ascii="Arial Narrow" w:hAnsi="Arial Narrow"/>
          <w:b/>
          <w:bCs/>
          <w:sz w:val="20"/>
          <w:szCs w:val="20"/>
          <w:lang w:val="en-US"/>
        </w:rPr>
      </w:pPr>
      <w:r w:rsidRPr="00483C58">
        <w:rPr>
          <w:rFonts w:ascii="Arial Narrow" w:hAnsi="Arial Narrow"/>
          <w:b/>
          <w:bCs/>
          <w:sz w:val="20"/>
          <w:szCs w:val="20"/>
          <w:lang w:val="en-US"/>
        </w:rPr>
        <w:t xml:space="preserve">Final provisions: form, applicable </w:t>
      </w:r>
      <w:proofErr w:type="gramStart"/>
      <w:r w:rsidRPr="00483C58">
        <w:rPr>
          <w:rFonts w:ascii="Arial Narrow" w:hAnsi="Arial Narrow"/>
          <w:b/>
          <w:bCs/>
          <w:sz w:val="20"/>
          <w:szCs w:val="20"/>
          <w:lang w:val="en-US"/>
        </w:rPr>
        <w:t>law</w:t>
      </w:r>
      <w:proofErr w:type="gramEnd"/>
      <w:r w:rsidRPr="00483C58">
        <w:rPr>
          <w:rFonts w:ascii="Arial Narrow" w:hAnsi="Arial Narrow"/>
          <w:b/>
          <w:bCs/>
          <w:sz w:val="20"/>
          <w:szCs w:val="20"/>
          <w:lang w:val="en-US"/>
        </w:rPr>
        <w:t xml:space="preserve"> and jurisdiction</w:t>
      </w:r>
    </w:p>
    <w:p w14:paraId="11F37111" w14:textId="1A4E38A8" w:rsidR="00483C58" w:rsidRDefault="00483C58" w:rsidP="00483C58">
      <w:pPr>
        <w:pStyle w:val="Akapitzlist"/>
        <w:numPr>
          <w:ilvl w:val="0"/>
          <w:numId w:val="20"/>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All amendments to the Agreements </w:t>
      </w:r>
      <w:proofErr w:type="gramStart"/>
      <w:r w:rsidRPr="00483C58">
        <w:rPr>
          <w:rFonts w:ascii="Arial Narrow" w:hAnsi="Arial Narrow"/>
          <w:sz w:val="20"/>
          <w:szCs w:val="20"/>
          <w:lang w:val="en-US"/>
        </w:rPr>
        <w:t>entered into</w:t>
      </w:r>
      <w:proofErr w:type="gramEnd"/>
      <w:r w:rsidRPr="00483C58">
        <w:rPr>
          <w:rFonts w:ascii="Arial Narrow" w:hAnsi="Arial Narrow"/>
          <w:sz w:val="20"/>
          <w:szCs w:val="20"/>
          <w:lang w:val="en-US"/>
        </w:rPr>
        <w:t xml:space="preserve"> by GFB and covered by these </w:t>
      </w:r>
      <w:r>
        <w:rPr>
          <w:rFonts w:ascii="Arial Narrow" w:hAnsi="Arial Narrow"/>
          <w:sz w:val="20"/>
          <w:szCs w:val="20"/>
          <w:lang w:val="en-US"/>
        </w:rPr>
        <w:t>OWU</w:t>
      </w:r>
      <w:r w:rsidRPr="00483C58">
        <w:rPr>
          <w:rFonts w:ascii="Arial Narrow" w:hAnsi="Arial Narrow"/>
          <w:sz w:val="20"/>
          <w:szCs w:val="20"/>
          <w:lang w:val="en-US"/>
        </w:rPr>
        <w:t xml:space="preserve"> shall require written or documentary (text) form under pain of nullity, subject to the limitations indicated in § 5</w:t>
      </w:r>
      <w:r>
        <w:rPr>
          <w:rFonts w:ascii="Arial Narrow" w:hAnsi="Arial Narrow"/>
          <w:sz w:val="20"/>
          <w:szCs w:val="20"/>
          <w:lang w:val="en-US"/>
        </w:rPr>
        <w:t xml:space="preserve"> sect. </w:t>
      </w:r>
      <w:r w:rsidRPr="00483C58">
        <w:rPr>
          <w:rFonts w:ascii="Arial Narrow" w:hAnsi="Arial Narrow"/>
          <w:sz w:val="20"/>
          <w:szCs w:val="20"/>
          <w:lang w:val="en-US"/>
        </w:rPr>
        <w:t>7 (above)</w:t>
      </w:r>
      <w:r>
        <w:rPr>
          <w:rFonts w:ascii="Arial Narrow" w:hAnsi="Arial Narrow"/>
          <w:sz w:val="20"/>
          <w:szCs w:val="20"/>
          <w:lang w:val="en-US"/>
        </w:rPr>
        <w:t>.</w:t>
      </w:r>
    </w:p>
    <w:p w14:paraId="16B3A9A2" w14:textId="2BCEC8B1" w:rsidR="00483C58" w:rsidRDefault="00483C58" w:rsidP="00483C58">
      <w:pPr>
        <w:pStyle w:val="Akapitzlist"/>
        <w:numPr>
          <w:ilvl w:val="0"/>
          <w:numId w:val="20"/>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All Agreements concluded by GFB and covered by these</w:t>
      </w:r>
      <w:r>
        <w:rPr>
          <w:rFonts w:ascii="Arial Narrow" w:hAnsi="Arial Narrow"/>
          <w:sz w:val="20"/>
          <w:szCs w:val="20"/>
          <w:lang w:val="en-US"/>
        </w:rPr>
        <w:t xml:space="preserve"> OWU</w:t>
      </w:r>
      <w:r w:rsidRPr="00483C58">
        <w:rPr>
          <w:rFonts w:ascii="Arial Narrow" w:hAnsi="Arial Narrow"/>
          <w:sz w:val="20"/>
          <w:szCs w:val="20"/>
          <w:lang w:val="en-US"/>
        </w:rPr>
        <w:t xml:space="preserve"> shall be governed by Polish law. In matters not regulated, the relevant generally applicable provisions of Polish law shall apply, </w:t>
      </w:r>
      <w:proofErr w:type="gramStart"/>
      <w:r w:rsidRPr="00483C58">
        <w:rPr>
          <w:rFonts w:ascii="Arial Narrow" w:hAnsi="Arial Narrow"/>
          <w:sz w:val="20"/>
          <w:szCs w:val="20"/>
          <w:lang w:val="en-US"/>
        </w:rPr>
        <w:t>in particular the</w:t>
      </w:r>
      <w:proofErr w:type="gramEnd"/>
      <w:r w:rsidRPr="00483C58">
        <w:rPr>
          <w:rFonts w:ascii="Arial Narrow" w:hAnsi="Arial Narrow"/>
          <w:sz w:val="20"/>
          <w:szCs w:val="20"/>
          <w:lang w:val="en-US"/>
        </w:rPr>
        <w:t xml:space="preserve"> Civil Code</w:t>
      </w:r>
      <w:r>
        <w:rPr>
          <w:rFonts w:ascii="Arial Narrow" w:hAnsi="Arial Narrow"/>
          <w:sz w:val="20"/>
          <w:szCs w:val="20"/>
          <w:lang w:val="en-US"/>
        </w:rPr>
        <w:t>.</w:t>
      </w:r>
    </w:p>
    <w:p w14:paraId="36F5EE5E" w14:textId="45E050C9" w:rsidR="00483C58" w:rsidRPr="00483C58" w:rsidRDefault="00483C58" w:rsidP="00483C58">
      <w:pPr>
        <w:pStyle w:val="Akapitzlist"/>
        <w:numPr>
          <w:ilvl w:val="0"/>
          <w:numId w:val="20"/>
        </w:numPr>
        <w:spacing w:after="120" w:line="240" w:lineRule="auto"/>
        <w:ind w:left="284" w:hanging="284"/>
        <w:contextualSpacing w:val="0"/>
        <w:jc w:val="both"/>
        <w:rPr>
          <w:rFonts w:ascii="Arial Narrow" w:hAnsi="Arial Narrow"/>
          <w:sz w:val="20"/>
          <w:szCs w:val="20"/>
          <w:lang w:val="en-US"/>
        </w:rPr>
      </w:pPr>
      <w:r w:rsidRPr="00483C58">
        <w:rPr>
          <w:rFonts w:ascii="Arial Narrow" w:hAnsi="Arial Narrow"/>
          <w:sz w:val="20"/>
          <w:szCs w:val="20"/>
          <w:lang w:val="en-US"/>
        </w:rPr>
        <w:t xml:space="preserve">All disputes concerning the conclusion, </w:t>
      </w:r>
      <w:proofErr w:type="gramStart"/>
      <w:r w:rsidRPr="00483C58">
        <w:rPr>
          <w:rFonts w:ascii="Arial Narrow" w:hAnsi="Arial Narrow"/>
          <w:sz w:val="20"/>
          <w:szCs w:val="20"/>
          <w:lang w:val="en-US"/>
        </w:rPr>
        <w:t>validity</w:t>
      </w:r>
      <w:proofErr w:type="gramEnd"/>
      <w:r w:rsidRPr="00483C58">
        <w:rPr>
          <w:rFonts w:ascii="Arial Narrow" w:hAnsi="Arial Narrow"/>
          <w:sz w:val="20"/>
          <w:szCs w:val="20"/>
          <w:lang w:val="en-US"/>
        </w:rPr>
        <w:t xml:space="preserve"> or interpretation of the Agreements, as well as the non-performance or improper performance of obligations under the Agreements, which have not been resolved amicably by the Parties, shall be submitted by the Parties to the common court with jurisdiction over the seat of GFB. The language of the proceedings shall be Polish</w:t>
      </w:r>
      <w:r>
        <w:rPr>
          <w:rFonts w:ascii="Arial Narrow" w:hAnsi="Arial Narrow"/>
          <w:sz w:val="20"/>
          <w:szCs w:val="20"/>
          <w:lang w:val="en-US"/>
        </w:rPr>
        <w:t>.</w:t>
      </w:r>
    </w:p>
    <w:p w14:paraId="77438C36" w14:textId="77777777" w:rsidR="00483C58" w:rsidRPr="00483C58" w:rsidRDefault="00483C58" w:rsidP="00483C58">
      <w:pPr>
        <w:jc w:val="center"/>
        <w:rPr>
          <w:rFonts w:ascii="Arial Narrow" w:hAnsi="Arial Narrow"/>
          <w:b/>
          <w:bCs/>
          <w:sz w:val="20"/>
          <w:szCs w:val="20"/>
          <w:lang w:val="en-US"/>
        </w:rPr>
      </w:pPr>
    </w:p>
    <w:sectPr w:rsidR="00483C58" w:rsidRPr="00483C58" w:rsidSect="00483C58">
      <w:pgSz w:w="11906" w:h="16838"/>
      <w:pgMar w:top="1417" w:right="566" w:bottom="1417" w:left="452"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85D"/>
    <w:multiLevelType w:val="hybridMultilevel"/>
    <w:tmpl w:val="9A8A3B6C"/>
    <w:lvl w:ilvl="0" w:tplc="93328354">
      <w:start w:val="1"/>
      <w:numFmt w:val="decimal"/>
      <w:lvlText w:val="%1)"/>
      <w:lvlJc w:val="left"/>
      <w:pPr>
        <w:ind w:left="720" w:hanging="360"/>
      </w:pPr>
      <w:rPr>
        <w:rFonts w:eastAsia="Arial Unicode MS" w:hint="eastAs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98402E"/>
    <w:multiLevelType w:val="hybridMultilevel"/>
    <w:tmpl w:val="D49E71EA"/>
    <w:lvl w:ilvl="0" w:tplc="93328354">
      <w:start w:val="1"/>
      <w:numFmt w:val="decimal"/>
      <w:lvlText w:val="%1)"/>
      <w:lvlJc w:val="left"/>
      <w:pPr>
        <w:ind w:left="1440" w:hanging="360"/>
      </w:pPr>
      <w:rPr>
        <w:rFonts w:eastAsia="Arial Unicode MS" w:hint="eastAsi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B467328"/>
    <w:multiLevelType w:val="hybridMultilevel"/>
    <w:tmpl w:val="7AD4840A"/>
    <w:lvl w:ilvl="0" w:tplc="D9E0121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F7D38"/>
    <w:multiLevelType w:val="hybridMultilevel"/>
    <w:tmpl w:val="33CC64A6"/>
    <w:lvl w:ilvl="0" w:tplc="5B46E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5079A2"/>
    <w:multiLevelType w:val="hybridMultilevel"/>
    <w:tmpl w:val="D8D87B34"/>
    <w:lvl w:ilvl="0" w:tplc="0F5224A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CE6C7A"/>
    <w:multiLevelType w:val="hybridMultilevel"/>
    <w:tmpl w:val="B3DA52AA"/>
    <w:lvl w:ilvl="0" w:tplc="5B46E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3E270E"/>
    <w:multiLevelType w:val="hybridMultilevel"/>
    <w:tmpl w:val="E6C6DDBC"/>
    <w:lvl w:ilvl="0" w:tplc="5B46E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957E30"/>
    <w:multiLevelType w:val="hybridMultilevel"/>
    <w:tmpl w:val="48E29916"/>
    <w:lvl w:ilvl="0" w:tplc="9F32B6AC">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7636C9"/>
    <w:multiLevelType w:val="hybridMultilevel"/>
    <w:tmpl w:val="EB76B5C6"/>
    <w:lvl w:ilvl="0" w:tplc="5B46E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0F48FD"/>
    <w:multiLevelType w:val="hybridMultilevel"/>
    <w:tmpl w:val="6BF2899E"/>
    <w:lvl w:ilvl="0" w:tplc="5B46E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947074"/>
    <w:multiLevelType w:val="multilevel"/>
    <w:tmpl w:val="EB76B5C6"/>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185D56"/>
    <w:multiLevelType w:val="hybridMultilevel"/>
    <w:tmpl w:val="983844A6"/>
    <w:lvl w:ilvl="0" w:tplc="5B46E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076059"/>
    <w:multiLevelType w:val="hybridMultilevel"/>
    <w:tmpl w:val="BF3CEACE"/>
    <w:lvl w:ilvl="0" w:tplc="EA08F1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0D6BA6"/>
    <w:multiLevelType w:val="hybridMultilevel"/>
    <w:tmpl w:val="DF5A3B56"/>
    <w:lvl w:ilvl="0" w:tplc="74C07FC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4D6A11"/>
    <w:multiLevelType w:val="hybridMultilevel"/>
    <w:tmpl w:val="2E141C7A"/>
    <w:lvl w:ilvl="0" w:tplc="5B46E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C86768"/>
    <w:multiLevelType w:val="hybridMultilevel"/>
    <w:tmpl w:val="D54AEE0A"/>
    <w:lvl w:ilvl="0" w:tplc="BDD8A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A2433D1"/>
    <w:multiLevelType w:val="hybridMultilevel"/>
    <w:tmpl w:val="799A647A"/>
    <w:lvl w:ilvl="0" w:tplc="197AE1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681BE8"/>
    <w:multiLevelType w:val="hybridMultilevel"/>
    <w:tmpl w:val="488A2566"/>
    <w:lvl w:ilvl="0" w:tplc="536836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D67AC8"/>
    <w:multiLevelType w:val="multilevel"/>
    <w:tmpl w:val="17544492"/>
    <w:styleLink w:val="Biecalist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B983A77"/>
    <w:multiLevelType w:val="hybridMultilevel"/>
    <w:tmpl w:val="54E09C4A"/>
    <w:lvl w:ilvl="0" w:tplc="BED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8766902">
    <w:abstractNumId w:val="19"/>
  </w:num>
  <w:num w:numId="2" w16cid:durableId="1852446980">
    <w:abstractNumId w:val="15"/>
  </w:num>
  <w:num w:numId="3" w16cid:durableId="319966743">
    <w:abstractNumId w:val="0"/>
  </w:num>
  <w:num w:numId="4" w16cid:durableId="1400707734">
    <w:abstractNumId w:val="8"/>
  </w:num>
  <w:num w:numId="5" w16cid:durableId="1392195424">
    <w:abstractNumId w:val="7"/>
  </w:num>
  <w:num w:numId="6" w16cid:durableId="1936281447">
    <w:abstractNumId w:val="10"/>
  </w:num>
  <w:num w:numId="7" w16cid:durableId="514421914">
    <w:abstractNumId w:val="3"/>
  </w:num>
  <w:num w:numId="8" w16cid:durableId="168259334">
    <w:abstractNumId w:val="2"/>
  </w:num>
  <w:num w:numId="9" w16cid:durableId="518197739">
    <w:abstractNumId w:val="14"/>
  </w:num>
  <w:num w:numId="10" w16cid:durableId="293220724">
    <w:abstractNumId w:val="6"/>
  </w:num>
  <w:num w:numId="11" w16cid:durableId="1400515000">
    <w:abstractNumId w:val="4"/>
  </w:num>
  <w:num w:numId="12" w16cid:durableId="927424115">
    <w:abstractNumId w:val="16"/>
  </w:num>
  <w:num w:numId="13" w16cid:durableId="403575880">
    <w:abstractNumId w:val="11"/>
  </w:num>
  <w:num w:numId="14" w16cid:durableId="1152060153">
    <w:abstractNumId w:val="9"/>
  </w:num>
  <w:num w:numId="15" w16cid:durableId="1730034730">
    <w:abstractNumId w:val="5"/>
  </w:num>
  <w:num w:numId="16" w16cid:durableId="449133308">
    <w:abstractNumId w:val="1"/>
  </w:num>
  <w:num w:numId="17" w16cid:durableId="1041438742">
    <w:abstractNumId w:val="13"/>
  </w:num>
  <w:num w:numId="18" w16cid:durableId="336157617">
    <w:abstractNumId w:val="18"/>
  </w:num>
  <w:num w:numId="19" w16cid:durableId="621501195">
    <w:abstractNumId w:val="12"/>
  </w:num>
  <w:num w:numId="20" w16cid:durableId="283821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58"/>
    <w:rsid w:val="00483C58"/>
    <w:rsid w:val="00BC3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6388D8A"/>
  <w15:chartTrackingRefBased/>
  <w15:docId w15:val="{F2EC39B4-385B-E74D-A5A9-0399C6E9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3C58"/>
    <w:pPr>
      <w:ind w:left="720"/>
      <w:contextualSpacing/>
    </w:pPr>
  </w:style>
  <w:style w:type="numbering" w:customStyle="1" w:styleId="Biecalista1">
    <w:name w:val="Bieżąca lista1"/>
    <w:uiPriority w:val="99"/>
    <w:rsid w:val="00483C58"/>
    <w:pPr>
      <w:numPr>
        <w:numId w:val="6"/>
      </w:numPr>
    </w:pPr>
  </w:style>
  <w:style w:type="numbering" w:customStyle="1" w:styleId="Biecalista2">
    <w:name w:val="Bieżąca lista2"/>
    <w:uiPriority w:val="99"/>
    <w:rsid w:val="00483C5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2138</Words>
  <Characters>12829</Characters>
  <Application>Microsoft Office Word</Application>
  <DocSecurity>0</DocSecurity>
  <Lines>106</Lines>
  <Paragraphs>29</Paragraphs>
  <ScaleCrop>false</ScaleCrop>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Gorbunow</dc:creator>
  <cp:keywords/>
  <dc:description/>
  <cp:lastModifiedBy>Marcin Gorbunow</cp:lastModifiedBy>
  <cp:revision>1</cp:revision>
  <dcterms:created xsi:type="dcterms:W3CDTF">2022-08-03T10:04:00Z</dcterms:created>
  <dcterms:modified xsi:type="dcterms:W3CDTF">2022-08-03T15:16:00Z</dcterms:modified>
</cp:coreProperties>
</file>